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 Care Analytics Challenges: A 3-Pillar Framework Connecting Analytics Maturity, Workforce Agility, and Technical Enablement</w:t>
      </w:r>
    </w:p>
    <w:p>
      <w:pPr>
        <w:pStyle w:val="Author"/>
      </w:pPr>
      <w:r>
        <w:t xml:space="preserve">Samuel Thomas Harrold, Yuimedi, Inc.</w:t>
      </w:r>
    </w:p>
    <w:p>
      <w:pPr>
        <w:pStyle w:val="Date"/>
      </w:pPr>
      <w:r>
        <w:t xml:space="preserve">August 2026</w:t>
      </w:r>
    </w:p>
    <w:p>
      <w:pPr>
        <w:pStyle w:val="AbstractTitle"/>
      </w:pPr>
      <w:r>
        <w:t xml:space="preserve">Abstract</w:t>
      </w:r>
    </w:p>
    <w:p>
      <w:pPr>
        <w:pStyle w:val="Abstract"/>
      </w:pPr>
      <w:r>
        <w:t xml:space="preserve">Health 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 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c1a6dd077806037b05f55c737839fa387d125fa"/>
    <w:p>
      <w:pPr>
        <w:pStyle w:val="Heading1"/>
      </w:pPr>
      <w:r>
        <w:t xml:space="preserve">The Triple Threat: Institutional Amnesia in Health Care Analytics</w:t>
      </w:r>
    </w:p>
    <w:p>
      <w:pPr>
        <w:pStyle w:val="FirstParagraph"/>
      </w:pPr>
      <w:r>
        <w:t xml:space="preserve">The health 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Analytics Maturity Assessment Model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 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 care analytics, the systematic erasure of the tacit knowledge required to interpret complex health data. In health 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 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 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 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 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 care analytics, the breakdown is at the very first stage.</w:t>
      </w:r>
    </w:p>
    <w:p>
      <w:pPr>
        <w:pStyle w:val="BodyText"/>
      </w:pPr>
      <w:r>
        <w:t xml:space="preserve">The framework’s three pillars name the organizational capabilities at stake in the Triple Threat: analytics maturity, workforce agility, and technical enablement. This structure aligns with established models across health 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 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58943"/>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58943"/>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query generation, in which a conversational AI system translates the user’s natural language question into candidate SQL</w:t>
      </w:r>
      <w:r>
        <w:t xml:space="preserve"> </w:t>
      </w:r>
      <w:r>
        <w:t xml:space="preserve">[</w:t>
      </w:r>
      <w:hyperlink w:anchor="ref-lee2023">
        <w:r>
          <w:rPr>
            <w:rStyle w:val="Hyperlink"/>
          </w:rPr>
          <w:t xml:space="preserve">30</w:t>
        </w:r>
      </w:hyperlink>
      <w:r>
        <w:t xml:space="preserve">]</w:t>
      </w:r>
      <w:r>
        <w:t xml:space="preserve">,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 care maturity remains chronically low. Assessments reveal only 26 organizations worldwide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US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 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US $50,000 to US $230,000 per departing employee, with a loss of 39 staff members in a single department in 1 year incurring a total cost of up to US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 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 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 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 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 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 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 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 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Data sharing is not applicable to this article as no data sets were generated or analyzed during this study. All data cited are from publicly available peer-reviewed publications, industry reports, and academic theses referenced in the bibliography. The manuscript source, build pipeline, and literature review code generated for this work are archived on Zenodo and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At HIMSS24 APAC, the Adoption Model for Analytics Maturity gets facelift</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de Holan PM, Phillips N</w:t>
      </w:r>
      <w:r>
        <w:t xml:space="preserve">.</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2026 NSI National Health Care Retention &amp; RN Staffing Report</w:t>
      </w:r>
      <w:r>
        <w:t xml:space="preserve">. NSI Nursing Solutions; 2026.</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Ge X, Sirkin D, Stenholm D, Ju W.</w:t>
      </w:r>
      <w:r>
        <w:t xml:space="preserve"> </w:t>
      </w:r>
      <w:r>
        <w:t xml:space="preserve">ActiveNavigator: Toward real-time knowledge capture and feedback in design workspaces</w:t>
      </w:r>
      <w:r>
        <w:t xml:space="preserve">.</w:t>
      </w:r>
      <w:r>
        <w:t xml:space="preserve"> </w:t>
      </w:r>
      <w:r>
        <w:rPr>
          <w:i/>
          <w:iCs/>
        </w:rPr>
        <w:t xml:space="preserve">International Journal of Engineering Education</w:t>
      </w:r>
      <w:r>
        <w:t xml:space="preserve">. 2018;34(2):723-733.</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2025.</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The code modernization playbook: transforming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Care Analytics Challenges: A 3-Pillar Framework Connecting Analytics Maturity, Workforce Agility, and Technical Enablement</dc:title>
  <dc:creator>Samuel Thomas Harrold, Yuimedi, Inc.</dc:creator>
  <dc:language>en-US</dc:language>
  <cp:keywords>institutional amnesia, organizational forgetting, human-in-the-loop, medical informatics, socio-technical systems, query governance, natural language processing, knowledge management, personnel turnover, organizational resilience</cp:keywords>
  <dcterms:created xsi:type="dcterms:W3CDTF">2026-08-14T02:38:11Z</dcterms:created>
  <dcterms:modified xsi:type="dcterms:W3CDTF">2026-08-14T02:38:11Z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 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 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August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 Care Analytics Challenges</vt:lpwstr>
  </property>
  <property fmtid="{D5CDD505-2E9C-101B-9397-08002B2CF9AE}" pid="20" name="header-right">
    <vt:lpwstr>August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