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that</w:t>
      </w:r>
      <w:r>
        <w:t xml:space="preserve"> </w:t>
      </w:r>
      <w:r>
        <w:t xml:space="preserve">form</w:t>
      </w:r>
      <w:r>
        <w:t xml:space="preserve"> </w:t>
      </w:r>
      <w:r>
        <w:t xml:space="preserve">a</w:t>
      </w:r>
      <w:r>
        <w:t xml:space="preserve"> </w:t>
      </w:r>
      <w:r>
        <w:t xml:space="preserve">compounding</w:t>
      </w:r>
      <w:r>
        <w:t xml:space="preserve"> </w:t>
      </w:r>
      <w:r>
        <w:t xml:space="preserve">cycle:</w:t>
      </w:r>
      <w:r>
        <w:t xml:space="preserve"> </w:t>
      </w:r>
      <w:r>
        <w:t xml:space="preserve">low</w:t>
      </w:r>
      <w:r>
        <w:t xml:space="preserve"> </w:t>
      </w:r>
      <w:r>
        <w:t xml:space="preserve">analytics</w:t>
      </w:r>
      <w:r>
        <w:t xml:space="preserve"> </w:t>
      </w:r>
      <w:r>
        <w:t xml:space="preserve">maturity</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have</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characterized</w:t>
      </w:r>
      <w:r>
        <w:t xml:space="preserve"> </w:t>
      </w:r>
      <w:r>
        <w:t xml:space="preserve">by</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reported</w:t>
      </w:r>
      <w:r>
        <w:t xml:space="preserve"> </w:t>
      </w:r>
      <w:r>
        <w:t xml:space="preserve">by</w:t>
      </w:r>
      <w:r>
        <w:t xml:space="preserve"> </w:t>
      </w:r>
      <w:r>
        <w:t xml:space="preserve">79%</w:t>
      </w:r>
      <w:r>
        <w:t xml:space="preserve"> </w:t>
      </w:r>
      <w:r>
        <w:t xml:space="preserve">of</w:t>
      </w:r>
      <w:r>
        <w:t xml:space="preserve"> </w:t>
      </w:r>
      <w:r>
        <w:t xml:space="preserve">providers,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healthcare</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to</w:t>
      </w:r>
      <w:r>
        <w:t xml:space="preserve"> </w:t>
      </w:r>
      <w:r>
        <w:t xml:space="preserve">data</w:t>
      </w:r>
      <w:r>
        <w:t xml:space="preserve"> </w:t>
      </w:r>
      <w:r>
        <w:t xml:space="preserve">access.</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sources</w:t>
      </w:r>
      <w:r>
        <w:t xml:space="preserve"> </w:t>
      </w:r>
      <w:r>
        <w:t xml:space="preserve">were</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examining</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(EHRSQL,</w:t>
      </w:r>
      <w:r>
        <w:t xml:space="preserve"> </w:t>
      </w:r>
      <w:r>
        <w:t xml:space="preserve">SM3-Text-to-Query)</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three-pillar</w:t>
      </w:r>
      <w:r>
        <w:t xml:space="preserve"> </w:t>
      </w:r>
      <w:r>
        <w:t xml:space="preserve">framework</w:t>
      </w:r>
      <w:r>
        <w:t xml:space="preserve"> </w:t>
      </w:r>
      <w:r>
        <w:t xml:space="preserve">reveals</w:t>
      </w:r>
      <w:r>
        <w:t xml:space="preserve"> </w:t>
      </w:r>
      <w:r>
        <w:t xml:space="preserve">compounding</w:t>
      </w:r>
      <w:r>
        <w:t xml:space="preserve"> </w:t>
      </w:r>
      <w:r>
        <w:t xml:space="preserve">dynamics:</w:t>
      </w:r>
      <w:r>
        <w:t xml:space="preserve"> </w:t>
      </w:r>
      <w:r>
        <w:t xml:space="preserve">organizations</w:t>
      </w:r>
      <w:r>
        <w:t xml:space="preserve"> </w:t>
      </w:r>
      <w:r>
        <w:t xml:space="preserve">at</w:t>
      </w:r>
      <w:r>
        <w:t xml:space="preserve"> </w:t>
      </w:r>
      <w:r>
        <w:t xml:space="preserve">low</w:t>
      </w:r>
      <w:r>
        <w:t xml:space="preserve"> </w:t>
      </w:r>
      <w:r>
        <w:t xml:space="preserve">maturity</w:t>
      </w:r>
      <w:r>
        <w:t xml:space="preserve"> </w:t>
      </w:r>
      <w:r>
        <w:t xml:space="preserve">stages</w:t>
      </w:r>
      <w:r>
        <w:t xml:space="preserve"> </w:t>
      </w:r>
      <w:r>
        <w:t xml:space="preserve">experience</w:t>
      </w:r>
      <w:r>
        <w:t xml:space="preserve"> </w:t>
      </w:r>
      <w:r>
        <w:t xml:space="preserve">higher</w:t>
      </w:r>
      <w:r>
        <w:t xml:space="preserve"> </w:t>
      </w:r>
      <w:r>
        <w:t xml:space="preserve">turnover,</w:t>
      </w:r>
      <w:r>
        <w:t xml:space="preserve"> </w:t>
      </w:r>
      <w:r>
        <w:t xml:space="preserve">turnover</w:t>
      </w:r>
      <w:r>
        <w:t xml:space="preserve"> </w:t>
      </w:r>
      <w:r>
        <w:t xml:space="preserve">degrades</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capturing</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dynamics,</w:t>
      </w:r>
      <w:r>
        <w:t xml:space="preserve"> </w:t>
      </w:r>
      <w:r>
        <w:t xml:space="preserve">and</w:t>
      </w:r>
      <w:r>
        <w:t xml:space="preserve"> </w:t>
      </w:r>
      <w:r>
        <w:t xml:space="preserve">technical</w:t>
      </w:r>
      <w:r>
        <w:t xml:space="preserve"> </w:t>
      </w:r>
      <w:r>
        <w:t xml:space="preserve">barriers.</w:t>
      </w:r>
      <w:r>
        <w:t xml:space="preserve"> </w:t>
      </w:r>
      <w:r>
        <w:t xml:space="preserve">The</w:t>
      </w:r>
      <w:r>
        <w:t xml:space="preserve"> </w:t>
      </w:r>
      <w:r>
        <w:t xml:space="preserve">framework</w:t>
      </w:r>
      <w:r>
        <w:t xml:space="preserve"> </w:t>
      </w:r>
      <w:r>
        <w:t xml:space="preserve">reveals</w:t>
      </w:r>
      <w:r>
        <w:t xml:space="preserve"> </w:t>
      </w:r>
      <w:r>
        <w:t xml:space="preserve">compounding</w:t>
      </w:r>
      <w:r>
        <w:t xml:space="preserve"> </w:t>
      </w:r>
      <w:r>
        <w:t xml:space="preserve">effects:</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turnover</w:t>
      </w:r>
      <w:r>
        <w:t xml:space="preserve"> </w:t>
      </w:r>
      <w:r>
        <w:t xml:space="preserve">degrades</w:t>
      </w:r>
      <w:r>
        <w:t xml:space="preserve"> </w:t>
      </w:r>
      <w:r>
        <w:t xml:space="preserve">maturity,</w:t>
      </w:r>
      <w:r>
        <w:t xml:space="preserve"> </w:t>
      </w:r>
      <w:r>
        <w:t xml:space="preserve">and</w:t>
      </w:r>
      <w:r>
        <w:t xml:space="preserve"> </w:t>
      </w:r>
      <w:r>
        <w:t xml:space="preserve">technical</w:t>
      </w:r>
      <w:r>
        <w:t xml:space="preserve"> </w:t>
      </w:r>
      <w:r>
        <w:t xml:space="preserve">barriers</w:t>
      </w:r>
      <w:r>
        <w:t xml:space="preserve"> </w:t>
      </w:r>
      <w:r>
        <w:t xml:space="preserve">prevent</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technology</w:t>
      </w:r>
      <w:r>
        <w:t xml:space="preserve"> </w:t>
      </w:r>
      <w:r>
        <w:t xml:space="preserve">interventions,</w:t>
      </w:r>
      <w:r>
        <w:t xml:space="preserve"> </w:t>
      </w:r>
      <w:r>
        <w:t xml:space="preserve">including</w:t>
      </w:r>
      <w:r>
        <w:t xml:space="preserve"> </w:t>
      </w:r>
      <w:r>
        <w:t xml:space="preserve">conversational</w:t>
      </w:r>
      <w:r>
        <w:t xml:space="preserve"> </w:t>
      </w:r>
      <w:r>
        <w:t xml:space="preserve">AI</w:t>
      </w:r>
      <w:r>
        <w:t xml:space="preserve"> </w:t>
      </w:r>
      <w:r>
        <w:t xml:space="preserve">platforms</w:t>
      </w:r>
      <w:r>
        <w:t xml:space="preserve"> </w:t>
      </w:r>
      <w:r>
        <w:t xml:space="preserve">as</w:t>
      </w:r>
      <w:r>
        <w:t xml:space="preserve"> </w:t>
      </w:r>
      <w:r>
        <w:t xml:space="preserve">one</w:t>
      </w:r>
      <w:r>
        <w:t xml:space="preserve"> </w:t>
      </w:r>
      <w:r>
        <w:t xml:space="preserve">potential</w:t>
      </w:r>
      <w:r>
        <w:t xml:space="preserve"> </w:t>
      </w:r>
      <w:r>
        <w:t xml:space="preserve">application.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that has evolved from simple turnover to</w:t>
      </w:r>
      <w:r>
        <w:t xml:space="preserve"> </w:t>
      </w:r>
      <w:r>
        <w:t xml:space="preserve">“</w:t>
      </w:r>
      <w:r>
        <w:t xml:space="preserve">Systemic Instability.</w:t>
      </w:r>
      <w:r>
        <w:t xml:space="preserve">”</w:t>
      </w:r>
      <w:r>
        <w:t xml:space="preserve"> </w:t>
      </w:r>
      <w:r>
        <w:t xml:space="preserve">Recent evidence reveals a multi-layered workforce crisis affecting leadership, specialized roles, and new hires. At the strategic level, leadership churn is acute, with 53% of healthcare CIOs having a tenure of less than three years</w:t>
      </w:r>
      <w:r>
        <w:t xml:space="preserve"> </w:t>
      </w:r>
      <w:r>
        <w:t xml:space="preserve">(</w:t>
      </w:r>
      <w:hyperlink w:anchor="ref-wittkieffer2024">
        <w:r>
          <w:rPr>
            <w:rStyle w:val="Hyperlink"/>
          </w:rPr>
          <w:t xml:space="preserve">4</w:t>
        </w:r>
      </w:hyperlink>
      <w:r>
        <w:t xml:space="preserve">)</w:t>
      </w:r>
      <w:r>
        <w:t xml:space="preserve">, creating frequent shifts in analytics strategy. At the operational level, 79% of providers report persistent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leaving critical technical positions vacant. At the foundational level, approximately 30% of all new hospital hires leave within their first year</w:t>
      </w:r>
      <w:r>
        <w:t xml:space="preserve"> </w:t>
      </w:r>
      <w:r>
        <w:t xml:space="preserve">(</w:t>
      </w:r>
      <w:hyperlink w:anchor="ref-nsi2025">
        <w:r>
          <w:rPr>
            <w:rStyle w:val="Hyperlink"/>
          </w:rPr>
          <w:t xml:space="preserve">6</w:t>
        </w:r>
      </w:hyperlink>
      <w:r>
        <w:t xml:space="preserve">)</w:t>
      </w:r>
      <w:r>
        <w:t xml:space="preserve">, preventing the accumulation of tacit knowledge. This churn at every level creates cascading knowledge loss where expertise cannot stabilize, particularly in analytics roles where domain knowledge must combine with technical skills.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Accessing healthcare insights requires navigating a complex technical landscape that extends well beyond simple query formulation. While the immediate barrier is often the</w:t>
      </w:r>
      <w:r>
        <w:t xml:space="preserve"> </w:t>
      </w:r>
      <w:r>
        <w:t xml:space="preserve">“</w:t>
      </w:r>
      <w:r>
        <w:t xml:space="preserve">technical skills gap</w:t>
      </w:r>
      <w:r>
        <w:t xml:space="preserve">”</w:t>
      </w:r>
      <w:r>
        <w:t xml:space="preserve">—where clinical experts lack the SQL expertise to query databases directly—this is merely the surface of a deeper problem. Upstream of query formulation lie profound challenges in</w:t>
      </w:r>
      <w:r>
        <w:t xml:space="preserve"> </w:t>
      </w:r>
      <w:r>
        <w:rPr>
          <w:b/>
          <w:bCs/>
        </w:rPr>
        <w:t xml:space="preserve">Semantic Interoperability</w:t>
      </w:r>
      <w:r>
        <w:t xml:space="preserve">, where data definitions vary across sites, and</w:t>
      </w:r>
      <w:r>
        <w:t xml:space="preserve"> </w:t>
      </w:r>
      <w:r>
        <w:rPr>
          <w:b/>
          <w:bCs/>
        </w:rPr>
        <w:t xml:space="preserve">Data Quality</w:t>
      </w:r>
      <w:r>
        <w:t xml:space="preserve">, where missing or</w:t>
      </w:r>
      <w:r>
        <w:t xml:space="preserve"> </w:t>
      </w:r>
      <w:r>
        <w:t xml:space="preserve">“</w:t>
      </w:r>
      <w:r>
        <w:t xml:space="preserve">dirty</w:t>
      </w:r>
      <w:r>
        <w:t xml:space="preserve">”</w:t>
      </w:r>
      <w:r>
        <w:t xml:space="preserve"> </w:t>
      </w:r>
      <w:r>
        <w:t xml:space="preserve">data undermines trust</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that solves data chaos. Rather, it serves as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w:t>
      </w:r>
      <w:r>
        <w:t xml:space="preserve">(a design feature that compels organizations to formalize and enforce data governance rules as a precondition for system use). For the system to function, technical prerequisites must be met: validated Primary and Foreign Keys and explicit business interpretations (e.g., defining</w:t>
      </w:r>
      <w:r>
        <w:t xml:space="preserve"> </w:t>
      </w:r>
      <w:r>
        <w:t xml:space="preserve">“</w:t>
      </w:r>
      <w:r>
        <w:t xml:space="preserve">Length of Stay</w:t>
      </w:r>
      <w:r>
        <w:t xml:space="preserve">”</w:t>
      </w:r>
      <w:r>
        <w:t xml:space="preserve">). The AI interface forces the organization to codify these rules, moving them from tacit to explicit knowledge. It does not replace the hard work of data governance and standardization; instead, it provides a bridge that allows non-technical domain experts to interact with data</w:t>
      </w:r>
      <w:r>
        <w:t xml:space="preserve"> </w:t>
      </w:r>
      <w:r>
        <w:rPr>
          <w:i/>
          <w:iCs/>
        </w:rPr>
        <w:t xml:space="preserve">alongside</w:t>
      </w:r>
      <w:r>
        <w:t xml:space="preserve"> </w:t>
      </w:r>
      <w:r>
        <w:t xml:space="preserve">these modernization efforts. By transforming legacy technical requirements into natural language interactions, AI-assisted interfaces can unlock value from imperfect data systems while broader interoperability efforts continue</w:t>
      </w:r>
      <w:r>
        <w:t xml:space="preserve"> </w:t>
      </w:r>
      <w:r>
        <w:t xml:space="preserve">(</w:t>
      </w:r>
      <w:hyperlink w:anchor="ref-anthropic2025">
        <w:r>
          <w:rPr>
            <w:rStyle w:val="Hyperlink"/>
          </w:rPr>
          <w:t xml:space="preserve">9</w:t>
        </w:r>
      </w:hyperlink>
      <w:r>
        <w:t xml:space="preserve">)</w:t>
      </w:r>
      <w:r>
        <w:t xml:space="preserve">. Foundational research on natural language interfaces to databases established that modular architecture principles enable effective bridging of legacy data access challenges</w:t>
      </w:r>
      <w:r>
        <w:t xml:space="preserve"> </w:t>
      </w:r>
      <w:r>
        <w:t xml:space="preserve">(</w:t>
      </w:r>
      <w:hyperlink w:anchor="ref-hendrix1978">
        <w:r>
          <w:rPr>
            <w:rStyle w:val="Hyperlink"/>
          </w:rPr>
          <w:t xml:space="preserve">10</w:t>
        </w:r>
      </w:hyperlink>
      <w:r>
        <w:t xml:space="preserve">)</w:t>
      </w:r>
      <w:r>
        <w:t xml:space="preserve">, with modern implementations demonstrating that the same large language models underlying code modernization can serve as natural language interfaces to legacy systems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The challenge of retaining healthcare IT talent has evolved from a structural weakness into a persistent crisis. A foundational 2004 study established a historical baseline, finding that healthcare IT staff had the lowest expected tenure for new hires among all IT sectors at just 2.9 years</w:t>
      </w:r>
      <w:r>
        <w:t xml:space="preserve"> </w:t>
      </w:r>
      <w:r>
        <w:t xml:space="preserve">(</w:t>
      </w:r>
      <w:hyperlink w:anchor="ref-ang2004">
        <w:r>
          <w:rPr>
            <w:rStyle w:val="Hyperlink"/>
          </w:rPr>
          <w:t xml:space="preserve">13</w:t>
        </w:r>
      </w:hyperlink>
      <w:r>
        <w:t xml:space="preserve">)</w:t>
      </w:r>
      <w:r>
        <w:t xml:space="preserve">. While this structural pattern of high turnover has persisted for two decades, contemporary evidence indicates the crisis has intensified in the post-pandemic era.</w:t>
      </w:r>
    </w:p>
    <w:p>
      <w:pPr>
        <w:pStyle w:val="BodyText"/>
      </w:pPr>
      <w:r>
        <w:t xml:space="preserve">Recent data paints a stark picture of a workforce under strain. A 2025 analysis of public health informatics specialists reveals that 55% intend to leave their positions, signaling a potential exodus of specialized talent</w:t>
      </w:r>
      <w:r>
        <w:t xml:space="preserve"> </w:t>
      </w:r>
      <w:r>
        <w:t xml:space="preserve">(</w:t>
      </w:r>
      <w:hyperlink w:anchor="ref-rajamani2025">
        <w:r>
          <w:rPr>
            <w:rStyle w:val="Hyperlink"/>
          </w:rPr>
          <w:t xml:space="preserve">14</w:t>
        </w:r>
      </w:hyperlink>
      <w:r>
        <w:t xml:space="preserve">)</w:t>
      </w:r>
      <w:r>
        <w:t xml:space="preserve">. This aligns with broader industry signals: the 2023 AHIMA/NORC workforce survey reports that 83% of health information professionals face stagnant or increasing unfilled roles, confirming that vacancy rates are compounding the loss of experienced staff</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While exact longitudinal tenure data remains scarce, the convergence of high</w:t>
      </w:r>
      <w:r>
        <w:t xml:space="preserve"> </w:t>
      </w:r>
      <w:r>
        <w:t xml:space="preserve">“</w:t>
      </w:r>
      <w:r>
        <w:t xml:space="preserve">intent to leave</w:t>
      </w:r>
      <w:r>
        <w:t xml:space="preserve">”</w:t>
      </w:r>
      <w:r>
        <w:t xml:space="preserve"> </w:t>
      </w:r>
      <w:r>
        <w:t xml:space="preserve">indicators and persistent</w:t>
      </w:r>
      <w:r>
        <w:t xml:space="preserve"> </w:t>
      </w:r>
      <w:r>
        <w:t xml:space="preserve">“</w:t>
      </w:r>
      <w:r>
        <w:t xml:space="preserve">vacancy rates</w:t>
      </w:r>
      <w:r>
        <w:t xml:space="preserve">”</w:t>
      </w:r>
      <w:r>
        <w:t xml:space="preserve"> </w:t>
      </w:r>
      <w:r>
        <w:t xml:space="preserve">confirms that the institutional memory crisis remains acute. When experienced analysts leave, they take with them irreplaceable tacit knowledge—business rules, data anomalies, and analytical context—that traditional documentation fails to capture.</w:t>
      </w:r>
    </w:p>
    <w:p>
      <w:pPr>
        <w:pStyle w:val="BodyText"/>
      </w:pPr>
      <w:r>
        <w:t xml:space="preserve">The implications are measurable in operational terms and patient care quality. Organizations continue investing in analytics infrastructure while struggling to realize value from their data assets. Empirical research demonstrates that a 10-percentage-point increase in nursing staff turnover is associated with 0.241 additional health inspection citations and decreased assessment-based quality measures</w:t>
      </w:r>
      <w:r>
        <w:t xml:space="preserve"> </w:t>
      </w:r>
      <w:r>
        <w:t xml:space="preserve">(</w:t>
      </w:r>
      <w:hyperlink w:anchor="ref-shen2023">
        <w:r>
          <w:rPr>
            <w:rStyle w:val="Hyperlink"/>
          </w:rPr>
          <w:t xml:space="preserve">15</w:t>
        </w:r>
      </w:hyperlink>
      <w:r>
        <w:t xml:space="preserve">)</w:t>
      </w:r>
      <w:r>
        <w:t xml:space="preserve">.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Technical barriers remain pervasive, with 68% of healthcare organizations citing data interoperability as the leading obstacle to analytics adoption,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Physician technology adoption faces empirically validated barriers including perceived threat and inequity from workflow changes, directly impacting behavioral intentions toward analytics tools</w:t>
      </w:r>
      <w:r>
        <w:t xml:space="preserve"> </w:t>
      </w:r>
      <w:r>
        <w:t xml:space="preserve">(</w:t>
      </w:r>
      <w:hyperlink w:anchor="ref-lin2012">
        <w:r>
          <w:rPr>
            <w:rStyle w:val="Hyperlink"/>
          </w:rPr>
          <w:t xml:space="preserve">18</w:t>
        </w:r>
      </w:hyperlink>
      <w:r>
        <w:t xml:space="preserve">)</w:t>
      </w:r>
      <w:r>
        <w:t xml:space="preserve">. These three interconnected challenges represent operational inefficiencies with demonstrated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develop and validate an analytical framework for understanding healthcare’s interconnected analytics challenges.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Develop and validate a three-pillar analytical framework for understanding how healthcare analytics maturity gaps, workforce turnover, and technical barriers interconnect and compound each other.</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as one dimension of technical barriers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Reveal interconnections</w:t>
      </w:r>
      <w:r>
        <w:t xml:space="preserve"> </w:t>
      </w:r>
      <w:r>
        <w:t xml:space="preserve">between the three pillars through evidence synthesis</w:t>
      </w:r>
    </w:p>
    <w:p>
      <w:pPr>
        <w:pStyle w:val="Compact"/>
        <w:numPr>
          <w:ilvl w:val="0"/>
          <w:numId w:val="1001"/>
        </w:numPr>
      </w:pPr>
      <w:r>
        <w:rPr>
          <w:b/>
          <w:bCs/>
        </w:rPr>
        <w:t xml:space="preserve">Provide assessment rubric</w:t>
      </w:r>
      <w:r>
        <w:t xml:space="preserve"> </w:t>
      </w:r>
      <w:r>
        <w:t xml:space="preserve">for organizational self-evaluation using the framework</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30" w:name="contributions"/>
    <w:p>
      <w:pPr>
        <w:pStyle w:val="Heading2"/>
      </w:pPr>
      <w:r>
        <w:rPr>
          <w:rStyle w:val="SectionNumber"/>
        </w:rPr>
        <w:t xml:space="preserve">1.4</w:t>
      </w:r>
      <w:r>
        <w:tab/>
      </w:r>
      <w:r>
        <w:t xml:space="preserve">Contributions</w:t>
      </w:r>
    </w:p>
    <w:p>
      <w:pPr>
        <w:pStyle w:val="FirstParagraph"/>
      </w:pPr>
      <w:r>
        <w:t xml:space="preserve">This paper makes the following contributions to the healthcare informatics literature:</w:t>
      </w:r>
    </w:p>
    <w:p>
      <w:pPr>
        <w:numPr>
          <w:ilvl w:val="0"/>
          <w:numId w:val="1003"/>
        </w:numPr>
      </w:pPr>
      <w:r>
        <w:rPr>
          <w:b/>
          <w:bCs/>
        </w:rPr>
        <w:t xml:space="preserve">Three-Pillar Analytical Framework</w:t>
      </w:r>
      <w:r>
        <w:t xml:space="preserve"> </w:t>
      </w:r>
      <w:r>
        <w:t xml:space="preserve">(Primary Contribution): We synthesize evidence from three previously disconnected research domains (healthcare analytics maturity, workforce turnover, and natural language processing) into a unified analytical framework that reveals how these challenges interconnect and compound each other: low maturity accelerates turnover, turnover degrades maturity, and technical barriers prevent recovery from either. This framework provides an analytical lens for organizational self-assessment and research prioritization.</w:t>
      </w:r>
    </w:p>
    <w:p>
      <w:pPr>
        <w:numPr>
          <w:ilvl w:val="0"/>
          <w:numId w:val="1003"/>
        </w:numPr>
      </w:pPr>
      <w:r>
        <w:rPr>
          <w:b/>
          <w:bCs/>
        </w:rPr>
        <w:t xml:space="preserve">Evidence Synthesis Across Domains</w:t>
      </w:r>
      <w:r>
        <w:t xml:space="preserve">: We document the current state of each pillar through comprehensive literature review, providing healthcare organizations with consolidated evidence on analytics maturity benchmarks, workforce turnover impacts, and NL2SQL technical capabilities.</w:t>
      </w:r>
    </w:p>
    <w:p>
      <w:pPr>
        <w:numPr>
          <w:ilvl w:val="0"/>
          <w:numId w:val="1003"/>
        </w:numPr>
      </w:pPr>
      <w:r>
        <w:rPr>
          <w:b/>
          <w:bCs/>
        </w:rPr>
        <w:t xml:space="preserve">Illustrative Application</w:t>
      </w:r>
      <w:r>
        <w:t xml:space="preserve">: Drawing on established knowledge management literature</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This architecture concept addresses institutional memory loss through six steps: (1) domain experts ask natural language questions, (2) the system generates candidate SQL, (3) experts validate and correct the SQL, (4) validated NL+SQL pairs are stored in organizational memory, (5) future queries retrieve validated pairs, and (6) knowledge persists independent of staff tenure. Figure 1 illustrates this architecture, and Figure 2 details the validated query cycle.</w:t>
      </w:r>
    </w:p>
    <w:bookmarkStart w:id="29" w:name="Xb008ed5cb3c3dec64a7edfe8c13274574b21783"/>
    <w:p>
      <w:pPr>
        <w:pStyle w:val="Heading3"/>
      </w:pPr>
      <w:r>
        <w:rPr>
          <w:rStyle w:val="SectionNumber"/>
        </w:rPr>
        <w:t xml:space="preserve">1.4.1</w:t>
      </w:r>
      <w:r>
        <w:tab/>
      </w:r>
      <w:r>
        <w:t xml:space="preserve">Illustrative Application: The Validated Query Cycle</w:t>
      </w:r>
    </w:p>
    <w:p>
      <w:pPr>
        <w:pStyle w:val="FirstParagraph"/>
      </w:pPr>
      <w:r>
        <w:t xml:space="preserve">To demonstrate how the three-pillar framework might inform technology design, we describe a validated query cycle that could address institutional memory loss (Pillar 2) while reducing technical barriers (Pillar 3). This six-step cycle (Figure 2) illustrates one approach:</w:t>
      </w:r>
    </w:p>
    <w:p>
      <w:pPr>
        <w:numPr>
          <w:ilvl w:val="0"/>
          <w:numId w:val="1004"/>
        </w:numPr>
      </w:pPr>
      <w:r>
        <w:rPr>
          <w:b/>
          <w:bCs/>
        </w:rPr>
        <w:t xml:space="preserve">Query</w:t>
      </w:r>
      <w:r>
        <w:t xml:space="preserve">: A domain expert (clinician, analyst, or administrator) asks a natural language question about organizational data, such as</w:t>
      </w:r>
      <w:r>
        <w:t xml:space="preserve"> </w:t>
      </w:r>
      <w:r>
        <w:t xml:space="preserve">“</w:t>
      </w:r>
      <w:r>
        <w:t xml:space="preserve">What was our 30-day readmission rate for heart failure patients last quarter?</w:t>
      </w:r>
      <w:r>
        <w:t xml:space="preserve">”</w:t>
      </w:r>
    </w:p>
    <w:p>
      <w:pPr>
        <w:numPr>
          <w:ilvl w:val="0"/>
          <w:numId w:val="1004"/>
        </w:numPr>
      </w:pPr>
      <w:r>
        <w:rPr>
          <w:b/>
          <w:bCs/>
        </w:rPr>
        <w:t xml:space="preserve">Generation</w:t>
      </w:r>
      <w:r>
        <w:t xml:space="preserve">: The conversational AI system generates candidate SQL code from the natural language input, leveraging healthcare ontologies and organizational schema knowledge to produce syntactically correct queries.</w:t>
      </w:r>
    </w:p>
    <w:p>
      <w:pPr>
        <w:numPr>
          <w:ilvl w:val="0"/>
          <w:numId w:val="1004"/>
        </w:numPr>
      </w:pPr>
      <w:r>
        <w:rPr>
          <w:b/>
          <w:bCs/>
        </w:rPr>
        <w:t xml:space="preserve">Validation</w:t>
      </w:r>
      <w:r>
        <w:t xml:space="preserve">: The domain expert reviews the generated SQL and its results, confirming correctness or providing corrections. Following</w:t>
      </w:r>
      <w:r>
        <w:t xml:space="preserve"> </w:t>
      </w:r>
      <w:r>
        <w:t xml:space="preserve">“</w:t>
      </w:r>
      <w:r>
        <w:t xml:space="preserve">Human-on-the-Loop</w:t>
      </w:r>
      <w:r>
        <w:t xml:space="preserve">”</w:t>
      </w:r>
      <w:r>
        <w:t xml:space="preserve"> </w:t>
      </w:r>
      <w:r>
        <w:t xml:space="preserve">(HotL) frameworks proposed in doctoral research</w:t>
      </w:r>
      <w:r>
        <w:t xml:space="preserve"> </w:t>
      </w:r>
      <w:r>
        <w:t xml:space="preserve">(</w:t>
      </w:r>
      <w:hyperlink w:anchor="ref-bravorocca2023">
        <w:r>
          <w:rPr>
            <w:rStyle w:val="Hyperlink"/>
          </w:rPr>
          <w:t xml:space="preserve">21</w:t>
        </w:r>
      </w:hyperlink>
      <w:r>
        <w:t xml:space="preserve">)</w:t>
      </w:r>
      <w:r>
        <w:t xml:space="preserve">, this step allows domain experts to guide model adaptation without requiring explicit technical task boundaries. It leverages Interactive Machine Learning (IML) principles where users supply</w:t>
      </w:r>
      <w:r>
        <w:t xml:space="preserve"> </w:t>
      </w:r>
      <w:r>
        <w:t xml:space="preserve">“</w:t>
      </w:r>
      <w:r>
        <w:t xml:space="preserve">focused, frequent, and incremental</w:t>
      </w:r>
      <w:r>
        <w:t xml:space="preserve">”</w:t>
      </w:r>
      <w:r>
        <w:t xml:space="preserve"> </w:t>
      </w:r>
      <w:r>
        <w:t xml:space="preserve">feedback</w:t>
      </w:r>
      <w:r>
        <w:t xml:space="preserve"> </w:t>
      </w:r>
      <w:r>
        <w:t xml:space="preserve">(</w:t>
      </w:r>
      <w:hyperlink w:anchor="ref-mosqueirarey2023">
        <w:r>
          <w:rPr>
            <w:rStyle w:val="Hyperlink"/>
          </w:rPr>
          <w:t xml:space="preserve">22</w:t>
        </w:r>
      </w:hyperlink>
      <w:r>
        <w:t xml:space="preserve">)</w:t>
      </w:r>
      <w:r>
        <w:t xml:space="preserve">, transforming validation from a binary check into an iterative knowledge capture process.</w:t>
      </w:r>
    </w:p>
    <w:p>
      <w:pPr>
        <w:numPr>
          <w:ilvl w:val="0"/>
          <w:numId w:val="1004"/>
        </w:numPr>
      </w:pPr>
      <w:r>
        <w:rPr>
          <w:b/>
          <w:bCs/>
        </w:rPr>
        <w:t xml:space="preserve">Storage</w:t>
      </w:r>
      <w:r>
        <w:t xml:space="preserve">: Once validated, the NL+SQL pair is stored in organizational memory as a durable knowledge artifact. This pair represents tested, executable knowledge: a verified mapping from a business question to the correct data retrieval logic.</w:t>
      </w:r>
    </w:p>
    <w:p>
      <w:pPr>
        <w:numPr>
          <w:ilvl w:val="0"/>
          <w:numId w:val="1004"/>
        </w:numPr>
      </w:pPr>
      <w:r>
        <w:rPr>
          <w:b/>
          <w:bCs/>
        </w:rPr>
        <w:t xml:space="preserve">Retrieval</w:t>
      </w:r>
      <w:r>
        <w:t xml:space="preserve">: When future users ask similar questions, the system retrieves relevant validated pairs, either returning exact matches or using them to inform new query generation. This reduces dependence on individual expertise.</w:t>
      </w:r>
    </w:p>
    <w:p>
      <w:pPr>
        <w:numPr>
          <w:ilvl w:val="0"/>
          <w:numId w:val="1004"/>
        </w:numPr>
      </w:pPr>
      <w:r>
        <w:rPr>
          <w:b/>
          <w:bCs/>
        </w:rPr>
        <w:t xml:space="preserve">Persistence</w:t>
      </w:r>
      <w:r>
        <w:t xml:space="preserve">: When the original expert leaves the organization, their analytical knowledge remains embedded in validated query pairs. New staff inherit executable knowledge rather than starting from scratch or relying on incomplete documentation.</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9"/>
    <w:bookmarkEnd w:id="30"/>
    <w:bookmarkStart w:id="31"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2</w:t>
      </w:r>
      <w:r>
        <w:tab/>
      </w:r>
      <w:r>
        <w:t xml:space="preserve">Methodology</w:t>
      </w:r>
    </w:p>
    <w:bookmarkStart w:id="33"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5"/>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5"/>
        </w:numPr>
      </w:pPr>
      <w:r>
        <w:rPr>
          <w:b/>
          <w:bCs/>
        </w:rPr>
        <w:t xml:space="preserve">Original analytical framework</w:t>
      </w:r>
      <w:r>
        <w:t xml:space="preserve">: The three-pillar framework emerged iteratively from the literature rather than being pre-specified</w:t>
      </w:r>
    </w:p>
    <w:p>
      <w:pPr>
        <w:pStyle w:val="Compact"/>
        <w:numPr>
          <w:ilvl w:val="0"/>
          <w:numId w:val="1005"/>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6"/>
        </w:numPr>
      </w:pPr>
      <w:r>
        <w:t xml:space="preserve">Crossref: Cross-disciplinary academic literature, citation metadata</w:t>
      </w:r>
    </w:p>
    <w:p>
      <w:pPr>
        <w:pStyle w:val="Compact"/>
        <w:numPr>
          <w:ilvl w:val="0"/>
          <w:numId w:val="1006"/>
        </w:numPr>
      </w:pPr>
      <w:r>
        <w:t xml:space="preserve">PubMed: Clinical informatics, healthcare workforce, medical administration</w:t>
      </w:r>
    </w:p>
    <w:p>
      <w:pPr>
        <w:pStyle w:val="Compact"/>
        <w:numPr>
          <w:ilvl w:val="0"/>
          <w:numId w:val="1006"/>
        </w:numPr>
      </w:pPr>
      <w:r>
        <w:t xml:space="preserve">arXiv: Machine learning and NLP preprints, benchmark studies</w:t>
      </w:r>
    </w:p>
    <w:p>
      <w:pPr>
        <w:pStyle w:val="Compact"/>
        <w:numPr>
          <w:ilvl w:val="0"/>
          <w:numId w:val="1006"/>
        </w:numPr>
      </w:pPr>
      <w:r>
        <w:t xml:space="preserve">Semantic Scholar: AI and computer science papers, citation analysis</w:t>
      </w:r>
    </w:p>
    <w:p>
      <w:pPr>
        <w:pStyle w:val="FirstParagraph"/>
      </w:pPr>
      <w:r>
        <w:rPr>
          <w:b/>
          <w:bCs/>
        </w:rPr>
        <w:t xml:space="preserve">Industry Sources:</w:t>
      </w:r>
    </w:p>
    <w:p>
      <w:pPr>
        <w:pStyle w:val="Compact"/>
        <w:numPr>
          <w:ilvl w:val="0"/>
          <w:numId w:val="1007"/>
        </w:numPr>
      </w:pPr>
      <w:r>
        <w:t xml:space="preserve">HIMSS: Analytics Maturity Model documentation and industry standards</w:t>
      </w:r>
    </w:p>
    <w:p>
      <w:pPr>
        <w:pStyle w:val="Compact"/>
        <w:numPr>
          <w:ilvl w:val="0"/>
          <w:numId w:val="1007"/>
        </w:numPr>
      </w:pPr>
      <w:r>
        <w:t xml:space="preserve">Healthcare providers: NHS Trust implementation case studies</w:t>
      </w:r>
    </w:p>
    <w:p>
      <w:pPr>
        <w:pStyle w:val="Compact"/>
        <w:numPr>
          <w:ilvl w:val="0"/>
          <w:numId w:val="1007"/>
        </w:numPr>
      </w:pPr>
      <w:r>
        <w:t xml:space="preserve">Market research: Precedence Research, Forrester analyst reports</w:t>
      </w:r>
    </w:p>
    <w:p>
      <w:pPr>
        <w:pStyle w:val="Compact"/>
        <w:numPr>
          <w:ilvl w:val="0"/>
          <w:numId w:val="1007"/>
        </w:numPr>
      </w:pPr>
      <w:r>
        <w:t xml:space="preserve">Technology vendors: Health Catalyst, Oracle, Anthropic technical documentation</w:t>
      </w:r>
    </w:p>
    <w:p>
      <w:pPr>
        <w:pStyle w:val="Compact"/>
        <w:numPr>
          <w:ilvl w:val="0"/>
          <w:numId w:val="1007"/>
        </w:numPr>
      </w:pPr>
      <w:r>
        <w:t xml:space="preserve">Professional associations: AHIMA/NORC workforce surveys</w:t>
      </w:r>
    </w:p>
    <w:p>
      <w:pPr>
        <w:pStyle w:val="Compact"/>
        <w:numPr>
          <w:ilvl w:val="0"/>
          <w:numId w:val="1007"/>
        </w:numPr>
      </w:pPr>
      <w:r>
        <w:t xml:space="preserve">Business news: IBM, CNBC coverage of healthcare analytics ventures</w:t>
      </w:r>
    </w:p>
    <w:p>
      <w:pPr>
        <w:pStyle w:val="FirstParagraph"/>
      </w:pPr>
      <w:r>
        <w:rPr>
          <w:b/>
          <w:bCs/>
        </w:rPr>
        <w:t xml:space="preserve">Search Concepts:</w:t>
      </w:r>
    </w:p>
    <w:p>
      <w:pPr>
        <w:pStyle w:val="BodyText"/>
      </w:pPr>
      <w:r>
        <w:t xml:space="preserve">Search terms were organized around the three-pillar framework:</w:t>
      </w:r>
    </w:p>
    <w:p>
      <w:pPr>
        <w:pStyle w:val="Compact"/>
        <w:numPr>
          <w:ilvl w:val="0"/>
          <w:numId w:val="1008"/>
        </w:numPr>
      </w:pPr>
      <w:r>
        <w:t xml:space="preserve">Analytics maturity:</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analytics adoption,</w:t>
      </w:r>
      <w:r>
        <w:t xml:space="preserve">”</w:t>
      </w:r>
      <w:r>
        <w:t xml:space="preserve"> </w:t>
      </w:r>
      <w:r>
        <w:t xml:space="preserve">“</w:t>
      </w:r>
      <w:r>
        <w:t xml:space="preserve">analytics standardization failure,</w:t>
      </w:r>
      <w:r>
        <w:t xml:space="preserve">”</w:t>
      </w:r>
      <w:r>
        <w:t xml:space="preserve"> </w:t>
      </w:r>
      <w:r>
        <w:t xml:space="preserve">“</w:t>
      </w:r>
      <w:r>
        <w:t xml:space="preserve">low-code healthcare ROI,</w:t>
      </w:r>
      <w:r>
        <w:t xml:space="preserve">”</w:t>
      </w:r>
      <w:r>
        <w:t xml:space="preserve"> </w:t>
      </w:r>
      <w:r>
        <w:t xml:space="preserve">“</w:t>
      </w:r>
      <w:r>
        <w:t xml:space="preserve">conversational AI platforms</w:t>
      </w:r>
      <w:r>
        <w:t xml:space="preserve">”</w:t>
      </w:r>
    </w:p>
    <w:p>
      <w:pPr>
        <w:pStyle w:val="Compact"/>
        <w:numPr>
          <w:ilvl w:val="0"/>
          <w:numId w:val="1008"/>
        </w:numPr>
      </w:pPr>
      <w:r>
        <w:t xml:space="preserve">Workforce turnover:</w:t>
      </w:r>
      <w:r>
        <w:t xml:space="preserve">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t>
      </w:r>
      <w:r>
        <w:t xml:space="preserve">“</w:t>
      </w:r>
      <w:r>
        <w:t xml:space="preserve">institutional memory loss,</w:t>
      </w:r>
      <w:r>
        <w:t xml:space="preserve">”</w:t>
      </w:r>
      <w:r>
        <w:t xml:space="preserve"> </w:t>
      </w:r>
      <w:r>
        <w:t xml:space="preserve">“</w:t>
      </w:r>
      <w:r>
        <w:t xml:space="preserve">knowledge portal,</w:t>
      </w:r>
      <w:r>
        <w:t xml:space="preserve">”</w:t>
      </w:r>
      <w:r>
        <w:t xml:space="preserve"> </w:t>
      </w:r>
      <w:r>
        <w:t xml:space="preserve">“</w:t>
      </w:r>
      <w:r>
        <w:t xml:space="preserve">knowledge capture,</w:t>
      </w:r>
      <w:r>
        <w:t xml:space="preserve">”</w:t>
      </w:r>
      <w:r>
        <w:t xml:space="preserve"> </w:t>
      </w:r>
      <w:r>
        <w:t xml:space="preserve">“</w:t>
      </w:r>
      <w:r>
        <w:t xml:space="preserve">SECI model analytics</w:t>
      </w:r>
      <w:r>
        <w:t xml:space="preserve">”</w:t>
      </w:r>
    </w:p>
    <w:p>
      <w:pPr>
        <w:pStyle w:val="Compact"/>
        <w:numPr>
          <w:ilvl w:val="0"/>
          <w:numId w:val="1008"/>
        </w:numPr>
      </w:pPr>
      <w:r>
        <w:t xml:space="preserve">Technical barriers:</w:t>
      </w:r>
      <w:r>
        <w:t xml:space="preserve"> </w:t>
      </w:r>
      <w:r>
        <w:t xml:space="preserve">“</w:t>
      </w:r>
      <w:r>
        <w:t xml:space="preserve">NL2SQL healthcare,</w:t>
      </w:r>
      <w:r>
        <w:t xml:space="preserve">”</w:t>
      </w:r>
      <w:r>
        <w:t xml:space="preserve"> </w:t>
      </w:r>
      <w:r>
        <w:t xml:space="preserve">“</w:t>
      </w:r>
      <w:r>
        <w:t xml:space="preserve">text-to-SQL clinical,</w:t>
      </w:r>
      <w:r>
        <w:t xml:space="preserve">”</w:t>
      </w:r>
      <w:r>
        <w:t xml:space="preserve">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NL2SQL accuracy,</w:t>
      </w:r>
      <w:r>
        <w:t xml:space="preserve">”</w:t>
      </w:r>
      <w:r>
        <w:t xml:space="preserve"> </w:t>
      </w:r>
      <w:r>
        <w:t xml:space="preserve">“</w:t>
      </w:r>
      <w:r>
        <w:t xml:space="preserve">NL2SQL productivity,</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column matching,</w:t>
      </w:r>
      <w:r>
        <w:t xml:space="preserve">”</w:t>
      </w:r>
      <w:r>
        <w:t xml:space="preserve"> </w:t>
      </w:r>
      <w:r>
        <w:t xml:space="preserve">“</w:t>
      </w:r>
      <w:r>
        <w:t xml:space="preserve">vector embeddings schema</w:t>
      </w:r>
      <w:r>
        <w:t xml:space="preserve">”</w:t>
      </w:r>
    </w:p>
    <w:p>
      <w:pPr>
        <w:pStyle w:val="FirstParagraph"/>
      </w:pPr>
      <w:r>
        <w:rPr>
          <w:b/>
          <w:bCs/>
        </w:rPr>
        <w:t xml:space="preserve">Search Results:</w:t>
      </w:r>
    </w:p>
    <w:p>
      <w:pPr>
        <w:pStyle w:val="BodyText"/>
      </w:pPr>
      <w:r>
        <w:t xml:space="preserve">Searches across all databases yielded 570 initial results after deduplication. Crossref searches for terms including</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NL2SQL clinical,</w:t>
      </w:r>
      <w:r>
        <w:t xml:space="preserve">”</w:t>
      </w:r>
      <w:r>
        <w:t xml:space="preserve"> </w:t>
      </w:r>
      <w:r>
        <w:t xml:space="preserve">“</w:t>
      </w:r>
      <w:r>
        <w:t xml:space="preserve">knowledge portal,</w:t>
      </w:r>
      <w:r>
        <w:t xml:space="preserve">”</w:t>
      </w:r>
      <w:r>
        <w:t xml:space="preserve"> </w:t>
      </w:r>
      <w:r>
        <w:t xml:space="preserve">and</w:t>
      </w:r>
      <w:r>
        <w:t xml:space="preserve"> </w:t>
      </w:r>
      <w:r>
        <w:t xml:space="preserve">“</w:t>
      </w:r>
      <w:r>
        <w:t xml:space="preserve">low-code ROI</w:t>
      </w:r>
      <w:r>
        <w:t xml:space="preserve">”</w:t>
      </w:r>
      <w:r>
        <w:t xml:space="preserve"> </w:t>
      </w:r>
      <w:r>
        <w:t xml:space="preserve">(2015-current) returned 285 results, of which 15 passed screening. PubMed searches combining workforce terms (</w:t>
      </w:r>
      <w:r>
        <w:t xml:space="preserve">“</w:t>
      </w:r>
      <w:r>
        <w:t xml:space="preserve">healthcare IT tenure,</w:t>
      </w:r>
      <w:r>
        <w:t xml:space="preserve">”</w:t>
      </w:r>
      <w:r>
        <w:t xml:space="preserve"> </w:t>
      </w:r>
      <w:r>
        <w:t xml:space="preserve">“</w:t>
      </w:r>
      <w:r>
        <w:t xml:space="preserve">IT training time,</w:t>
      </w:r>
      <w:r>
        <w:t xml:space="preserve">”</w:t>
      </w:r>
      <w:r>
        <w:t xml:space="preserve"> </w:t>
      </w:r>
      <w:r>
        <w:t xml:space="preserve">“</w:t>
      </w:r>
      <w:r>
        <w:t xml:space="preserve">turnover cost salary</w:t>
      </w:r>
      <w:r>
        <w:t xml:space="preserve">”</w:t>
      </w:r>
      <w:r>
        <w:t xml:space="preserve">) with analytics terms (</w:t>
      </w:r>
      <w:r>
        <w:t xml:space="preserve">“</w:t>
      </w:r>
      <w:r>
        <w:t xml:space="preserve">institutional memory,</w:t>
      </w:r>
      <w:r>
        <w:t xml:space="preserve">”</w:t>
      </w:r>
      <w:r>
        <w:t xml:space="preserve"> </w:t>
      </w:r>
      <w:r>
        <w:t xml:space="preserve">“</w:t>
      </w:r>
      <w:r>
        <w:t xml:space="preserve">analytics adoption,</w:t>
      </w:r>
      <w:r>
        <w:t xml:space="preserve">”</w:t>
      </w:r>
      <w:r>
        <w:t xml:space="preserve"> </w:t>
      </w:r>
      <w:r>
        <w:t xml:space="preserve">“</w:t>
      </w:r>
      <w:r>
        <w:t xml:space="preserve">knowledge capture</w:t>
      </w:r>
      <w:r>
        <w:t xml:space="preserve">”</w:t>
      </w:r>
      <w:r>
        <w:t xml:space="preserve">) (2015-current) yielded 142 results with 12 passing screening. arXiv searches in cs.CL and cs.DB categories for</w:t>
      </w:r>
      <w:r>
        <w:t xml:space="preserve"> </w:t>
      </w:r>
      <w:r>
        <w:t xml:space="preserve">“</w:t>
      </w:r>
      <w:r>
        <w:t xml:space="preserve">text-to-SQL</w:t>
      </w:r>
      <w:r>
        <w:t xml:space="preserve">”</w:t>
      </w:r>
      <w:r>
        <w:t xml:space="preserve"> </w:t>
      </w:r>
      <w:r>
        <w:t xml:space="preserve">combined with technical terms (</w:t>
      </w:r>
      <w:r>
        <w:t xml:space="preserve">“</w:t>
      </w:r>
      <w:r>
        <w:t xml:space="preserve">MIMICSQL,</w:t>
      </w:r>
      <w:r>
        <w:t xml:space="preserve">”</w:t>
      </w:r>
      <w:r>
        <w:t xml:space="preserve"> </w:t>
      </w:r>
      <w:r>
        <w:t xml:space="preserve">“</w:t>
      </w:r>
      <w:r>
        <w:t xml:space="preserve">EHRSQL,</w:t>
      </w:r>
      <w:r>
        <w:t xml:space="preserve">”</w:t>
      </w:r>
      <w:r>
        <w:t xml:space="preserve"> </w:t>
      </w:r>
      <w:r>
        <w:t xml:space="preserve">“</w:t>
      </w:r>
      <w:r>
        <w:t xml:space="preserve">schema discovery,</w:t>
      </w:r>
      <w:r>
        <w:t xml:space="preserve">”</w:t>
      </w:r>
      <w:r>
        <w:t xml:space="preserve"> </w:t>
      </w:r>
      <w:r>
        <w:t xml:space="preserve">“</w:t>
      </w:r>
      <w:r>
        <w:t xml:space="preserve">PK/FK discovery,</w:t>
      </w:r>
      <w:r>
        <w:t xml:space="preserve">”</w:t>
      </w:r>
      <w:r>
        <w:t xml:space="preserve"> </w:t>
      </w:r>
      <w:r>
        <w:t xml:space="preserve">“</w:t>
      </w:r>
      <w:r>
        <w:t xml:space="preserve">semantic matching,</w:t>
      </w:r>
      <w:r>
        <w:t xml:space="preserve">”</w:t>
      </w:r>
      <w:r>
        <w:t xml:space="preserve"> </w:t>
      </w:r>
      <w:r>
        <w:t xml:space="preserve">“</w:t>
      </w:r>
      <w:r>
        <w:t xml:space="preserve">vector embeddings</w:t>
      </w:r>
      <w:r>
        <w:t xml:space="preserve">”</w:t>
      </w:r>
      <w:r>
        <w:t xml:space="preserve">) (2020-current) produced 71 results with 6 passing screening. Semantic Scholar searches for</w:t>
      </w:r>
      <w:r>
        <w:t xml:space="preserve"> </w:t>
      </w:r>
      <w:r>
        <w:t xml:space="preserve">“</w:t>
      </w:r>
      <w:r>
        <w:t xml:space="preserve">NL2SQL healthcare,</w:t>
      </w:r>
      <w:r>
        <w:t xml:space="preserve">”</w:t>
      </w:r>
      <w:r>
        <w:t xml:space="preserve"> </w:t>
      </w:r>
      <w:r>
        <w:t xml:space="preserve">“</w:t>
      </w:r>
      <w:r>
        <w:t xml:space="preserve">NL2SQL productivity,</w:t>
      </w:r>
      <w:r>
        <w:t xml:space="preserve">”</w:t>
      </w:r>
      <w:r>
        <w:t xml:space="preserve"> </w:t>
      </w:r>
      <w:r>
        <w:t xml:space="preserve">“</w:t>
      </w:r>
      <w:r>
        <w:t xml:space="preserve">conversational AI clinical,</w:t>
      </w:r>
      <w:r>
        <w:t xml:space="preserve">”</w:t>
      </w:r>
      <w:r>
        <w:t xml:space="preserve"> </w:t>
      </w:r>
      <w:r>
        <w:t xml:space="preserve">and</w:t>
      </w:r>
      <w:r>
        <w:t xml:space="preserve"> </w:t>
      </w:r>
      <w:r>
        <w:t xml:space="preserve">“</w:t>
      </w:r>
      <w:r>
        <w:t xml:space="preserve">SECI model analytics</w:t>
      </w:r>
      <w:r>
        <w:t xml:space="preserve">”</w:t>
      </w:r>
      <w:r>
        <w:t xml:space="preserve"> </w:t>
      </w:r>
      <w:r>
        <w:t xml:space="preserve">(2015-current) returned 72 results with 8 passing screening. The final corpus includes 81 academic and 11 industry sources (92 total).</w:t>
      </w:r>
    </w:p>
    <w:p>
      <w:pPr>
        <w:pStyle w:val="BodyText"/>
      </w:pPr>
      <w:r>
        <w:t xml:space="preserve">Figure 3 illustrates the literature selection process, showing progression from initial database search through screening and quality assessment to the final corpus of 92 sources.</w:t>
      </w:r>
    </w:p>
    <w:bookmarkEnd w:id="34"/>
    <w:bookmarkStart w:id="35"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9"/>
        </w:numPr>
      </w:pPr>
      <w:r>
        <w:t xml:space="preserve">Peer-reviewed publications in healthcare informatics, medical informatics, computer science, or health services research</w:t>
      </w:r>
    </w:p>
    <w:p>
      <w:pPr>
        <w:pStyle w:val="Compact"/>
        <w:numPr>
          <w:ilvl w:val="0"/>
          <w:numId w:val="1009"/>
        </w:numPr>
      </w:pPr>
      <w:r>
        <w:t xml:space="preserve">Industry reports from established healthcare IT organizations (HIMSS, AHIMA, AMIA)</w:t>
      </w:r>
    </w:p>
    <w:p>
      <w:pPr>
        <w:pStyle w:val="Compact"/>
        <w:numPr>
          <w:ilvl w:val="0"/>
          <w:numId w:val="1009"/>
        </w:numPr>
      </w:pPr>
      <w:r>
        <w:t xml:space="preserve">Publications from 2015-current, with emphasis on 2020-current for rapidly evolving NL2SQL technologies</w:t>
      </w:r>
    </w:p>
    <w:p>
      <w:pPr>
        <w:pStyle w:val="Compact"/>
        <w:numPr>
          <w:ilvl w:val="0"/>
          <w:numId w:val="1009"/>
        </w:numPr>
      </w:pPr>
      <w:r>
        <w:t xml:space="preserve">English language publications</w:t>
      </w:r>
    </w:p>
    <w:p>
      <w:pPr>
        <w:pStyle w:val="Compact"/>
        <w:numPr>
          <w:ilvl w:val="0"/>
          <w:numId w:val="1009"/>
        </w:numPr>
      </w:pPr>
      <w:r>
        <w:t xml:space="preserve">Sources with verifiable DOIs, URLs, or institutional attribution</w:t>
      </w:r>
    </w:p>
    <w:p>
      <w:pPr>
        <w:pStyle w:val="FirstParagraph"/>
      </w:pPr>
      <w:r>
        <w:rPr>
          <w:b/>
          <w:bCs/>
        </w:rPr>
        <w:t xml:space="preserve">Exclusion Criteria:</w:t>
      </w:r>
    </w:p>
    <w:p>
      <w:pPr>
        <w:pStyle w:val="Compact"/>
        <w:numPr>
          <w:ilvl w:val="0"/>
          <w:numId w:val="1010"/>
        </w:numPr>
      </w:pPr>
      <w:r>
        <w:t xml:space="preserve">Sources without verifiable attribution or institutional backing</w:t>
      </w:r>
    </w:p>
    <w:p>
      <w:pPr>
        <w:pStyle w:val="Compact"/>
        <w:numPr>
          <w:ilvl w:val="0"/>
          <w:numId w:val="1010"/>
        </w:numPr>
      </w:pPr>
      <w:r>
        <w:t xml:space="preserve">Vendor marketing materials without independent validation</w:t>
      </w:r>
    </w:p>
    <w:p>
      <w:pPr>
        <w:pStyle w:val="Compact"/>
        <w:numPr>
          <w:ilvl w:val="0"/>
          <w:numId w:val="1010"/>
        </w:numPr>
      </w:pPr>
      <w:r>
        <w:t xml:space="preserve">Preprints without subsequent peer-reviewed publication (exception: foundational NL2SQL benchmarks where peer review is pending)</w:t>
      </w:r>
    </w:p>
    <w:p>
      <w:pPr>
        <w:pStyle w:val="Compact"/>
        <w:numPr>
          <w:ilvl w:val="0"/>
          <w:numId w:val="1010"/>
        </w:numPr>
      </w:pPr>
      <w:r>
        <w:t xml:space="preserve">Studies with unverifiable statistics or methodological concerns</w:t>
      </w:r>
    </w:p>
    <w:bookmarkEnd w:id="35"/>
    <w:bookmarkStart w:id="36"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11"/>
        </w:numPr>
      </w:pPr>
      <w:r>
        <w:rPr>
          <w:b/>
          <w:bCs/>
        </w:rPr>
        <w:t xml:space="preserve">Analytics maturity</w:t>
      </w:r>
      <w:r>
        <w:t xml:space="preserve">: Evidence on HIMSS AMAM adoption, healthcare analytics capabilities, and organizational readiness</w:t>
      </w:r>
    </w:p>
    <w:p>
      <w:pPr>
        <w:pStyle w:val="Compact"/>
        <w:numPr>
          <w:ilvl w:val="0"/>
          <w:numId w:val="1011"/>
        </w:numPr>
      </w:pPr>
      <w:r>
        <w:rPr>
          <w:b/>
          <w:bCs/>
        </w:rPr>
        <w:t xml:space="preserve">Workforce turnover</w:t>
      </w:r>
      <w:r>
        <w:t xml:space="preserve">: Evidence on nursing and IT staff turnover rates, institutional memory loss, and knowledge transfer challenges</w:t>
      </w:r>
    </w:p>
    <w:p>
      <w:pPr>
        <w:pStyle w:val="Compact"/>
        <w:numPr>
          <w:ilvl w:val="0"/>
          <w:numId w:val="1011"/>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7"/>
    <w:bookmarkStart w:id="38"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2"/>
        </w:numPr>
      </w:pPr>
      <w:r>
        <w:rPr>
          <w:b/>
          <w:bCs/>
        </w:rPr>
        <w:t xml:space="preserve">Non-exhaustive search</w:t>
      </w:r>
      <w:r>
        <w:t xml:space="preserve">: Literature identification was selective rather than exhaustive; relevant studies may have been missed</w:t>
      </w:r>
    </w:p>
    <w:p>
      <w:pPr>
        <w:pStyle w:val="Compact"/>
        <w:numPr>
          <w:ilvl w:val="0"/>
          <w:numId w:val="1012"/>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2"/>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2"/>
        </w:numPr>
      </w:pPr>
      <w:r>
        <w:rPr>
          <w:b/>
          <w:bCs/>
        </w:rPr>
        <w:t xml:space="preserve">Post-hoc selection criteria</w:t>
      </w:r>
      <w:r>
        <w:t xml:space="preserve">: Inclusion and exclusion criteria were refined during the review process rather than pre-registered</w:t>
      </w:r>
    </w:p>
    <w:p>
      <w:pPr>
        <w:pStyle w:val="Compact"/>
        <w:numPr>
          <w:ilvl w:val="0"/>
          <w:numId w:val="1012"/>
        </w:numPr>
      </w:pPr>
      <w:r>
        <w:rPr>
          <w:b/>
          <w:bCs/>
        </w:rPr>
        <w:t xml:space="preserve">No protocol registration</w:t>
      </w:r>
      <w:r>
        <w:t xml:space="preserve">: This review was not registered in PROSPERO or similar registries</w:t>
      </w:r>
    </w:p>
    <w:p>
      <w:pPr>
        <w:pStyle w:val="Compact"/>
        <w:numPr>
          <w:ilvl w:val="0"/>
          <w:numId w:val="1012"/>
        </w:numPr>
      </w:pPr>
      <w:r>
        <w:rPr>
          <w:b/>
          <w:bCs/>
        </w:rPr>
        <w:t xml:space="preserve">Critical data gap in workforce statistics</w:t>
      </w:r>
      <w:r>
        <w:t xml:space="preserve">: The lack of longitudinal tenure data specific to Healthcare Analytics &amp; Informatics Professionals is a critical</w:t>
      </w:r>
      <w:r>
        <w:t xml:space="preserve"> </w:t>
      </w:r>
      <w:r>
        <w:rPr>
          <w:i/>
          <w:iCs/>
        </w:rPr>
        <w:t xml:space="preserve">blind spot</w:t>
      </w:r>
      <w:r>
        <w:t xml:space="preserve"> </w:t>
      </w:r>
      <w:r>
        <w:t xml:space="preserve">in the literature. While clinical turnover is well-tracked, the primary statistic for IT turnover (~34% implied for new hires) relies on Ang and Slaughter’s 2004 study</w:t>
      </w:r>
      <w:r>
        <w:t xml:space="preserve"> </w:t>
      </w:r>
      <w:r>
        <w:t xml:space="preserve">(</w:t>
      </w:r>
      <w:hyperlink w:anchor="ref-ang2004">
        <w:r>
          <w:rPr>
            <w:rStyle w:val="Hyperlink"/>
          </w:rPr>
          <w:t xml:space="preserve">13</w:t>
        </w:r>
      </w:hyperlink>
      <w:r>
        <w:t xml:space="preserve">)</w:t>
      </w:r>
      <w:r>
        <w:t xml:space="preserve">. This statistical void obscures the true severity of institutional memory decay, representing a primary finding of this review: the industry lacks the modern metrics necessary to quantify its own systemic instability.</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gaps, (2) workforce turnover and institutional memory loss, and (3) technical barriers in natural language to SQL generation. This section documents the framework’s development process and theoretical grounding.</w:t>
      </w:r>
    </w:p>
    <w:bookmarkStart w:id="40"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3"/>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3"/>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3"/>
        </w:numPr>
      </w:pPr>
      <w:r>
        <w:rPr>
          <w:b/>
          <w:bCs/>
        </w:rPr>
        <w:t xml:space="preserve">Pillar Identification</w:t>
      </w:r>
      <w:r>
        <w:t xml:space="preserve">: Three orthogonal yet interconnected dimensions emerged as the organizing structure:</w:t>
      </w:r>
    </w:p>
    <w:p>
      <w:pPr>
        <w:pStyle w:val="Compact"/>
        <w:numPr>
          <w:ilvl w:val="1"/>
          <w:numId w:val="1014"/>
        </w:numPr>
      </w:pPr>
      <w:r>
        <w:rPr>
          <w:b/>
          <w:bCs/>
        </w:rPr>
        <w:t xml:space="preserve">Analytics Maturity</w:t>
      </w:r>
      <w:r>
        <w:t xml:space="preserve">: Organizational capability progression measured against HIMSS AMAM stages</w:t>
      </w:r>
    </w:p>
    <w:p>
      <w:pPr>
        <w:pStyle w:val="Compact"/>
        <w:numPr>
          <w:ilvl w:val="1"/>
          <w:numId w:val="1014"/>
        </w:numPr>
      </w:pPr>
      <w:r>
        <w:rPr>
          <w:b/>
          <w:bCs/>
        </w:rPr>
        <w:t xml:space="preserve">Workforce Dynamics</w:t>
      </w:r>
      <w:r>
        <w:t xml:space="preserve">: Human capital retention and tacit knowledge preservation</w:t>
      </w:r>
    </w:p>
    <w:p>
      <w:pPr>
        <w:pStyle w:val="Compact"/>
        <w:numPr>
          <w:ilvl w:val="1"/>
          <w:numId w:val="1014"/>
        </w:numPr>
      </w:pPr>
      <w:r>
        <w:rPr>
          <w:b/>
          <w:bCs/>
        </w:rPr>
        <w:t xml:space="preserve">Technical Barriers</w:t>
      </w:r>
      <w:r>
        <w:t xml:space="preserve">: NL2SQL capabilities and healthcare-specific implementation challenges</w:t>
      </w:r>
    </w:p>
    <w:p>
      <w:pPr>
        <w:pStyle w:val="Compact"/>
        <w:numPr>
          <w:ilvl w:val="0"/>
          <w:numId w:val="1013"/>
        </w:numPr>
      </w:pPr>
      <w:r>
        <w:rPr>
          <w:b/>
          <w:bCs/>
        </w:rPr>
        <w:t xml:space="preserve">Framework Validation</w:t>
      </w:r>
      <w:r>
        <w:t xml:space="preserve">: Pillar structure tested against all 92 sources to confirm comprehensive coverage without significant gaps</w:t>
      </w:r>
    </w:p>
    <w:bookmarkEnd w:id="40"/>
    <w:bookmarkStart w:id="41"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70"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three-pillar framework domains: natural language to SQL generation (technical barriers), healthcare analytics maturity, and workforce dynamics. Drawing from peer-reviewed research, industry reports, and benchmark datasets identified through the methodology described in Section 2 (Methodology), we document the current state of each pillar and reveal interconnections. Analysis reveals three critical findings: (1) natural language to SQL generation has evolved significantly but faces healthcare-specific challenges requiring specialized solutions, (2) healthcare analytics maturity remains low with most organizations struggling at basic stages, and (3) healthcare workforce turnover creates institutional memory loss that traditional approaches fail to address. Evidence across these three domains reveals significant interconnections and compounding effects that the three-pillar framework synthesizes.</w:t>
      </w:r>
    </w:p>
    <w:bookmarkStart w:id="48" w:name="X79e53be5adb6b9863f8ca49c43cb7059ea634a1"/>
    <w:p>
      <w:pPr>
        <w:pStyle w:val="Heading2"/>
      </w:pPr>
      <w:r>
        <w:rPr>
          <w:rStyle w:val="SectionNumber"/>
        </w:rPr>
        <w:t xml:space="preserve">4.1</w:t>
      </w:r>
      <w:r>
        <w:tab/>
      </w:r>
      <w:r>
        <w:t xml:space="preserve">Current State of Natural Language to SQL Generation</w:t>
      </w:r>
    </w:p>
    <w:bookmarkStart w:id="44"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24</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25</w:t>
        </w:r>
      </w:hyperlink>
      <w:r>
        <w:t xml:space="preserve">)</w:t>
      </w:r>
      <w:r>
        <w:t xml:space="preserve">,</w:t>
      </w:r>
      <w:r>
        <w:t xml:space="preserve"> </w:t>
      </w:r>
      <w:r>
        <w:t xml:space="preserve">(</w:t>
      </w:r>
      <w:hyperlink w:anchor="ref-openai2025">
        <w:r>
          <w:rPr>
            <w:rStyle w:val="Hyperlink"/>
          </w:rPr>
          <w:t xml:space="preserve">26</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25</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29</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26</w:t>
        </w:r>
      </w:hyperlink>
      <w:r>
        <w:t xml:space="preserve">)</w:t>
      </w:r>
      <w:r>
        <w:t xml:space="preserve">.</w:t>
      </w:r>
    </w:p>
    <w:bookmarkEnd w:id="44"/>
    <w:bookmarkStart w:id="45"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30</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31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31</w:t>
        </w:r>
      </w:hyperlink>
      <w:r>
        <w:t xml:space="preserve">)</w:t>
      </w:r>
      <w:r>
        <w:t xml:space="preserve"> </w:t>
      </w:r>
      <w:r>
        <w:t xml:space="preserve">and EHRSQL benchmark</w:t>
      </w:r>
      <w:r>
        <w:t xml:space="preserve"> </w:t>
      </w:r>
      <w:r>
        <w:t xml:space="preserve">(</w:t>
      </w:r>
      <w:hyperlink w:anchor="ref-lee2023">
        <w:r>
          <w:rPr>
            <w:rStyle w:val="Hyperlink"/>
          </w:rPr>
          <w:t xml:space="preserve">32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33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27</w:t>
        </w:r>
      </w:hyperlink>
      <w:r>
        <w:t xml:space="preserve">)</w:t>
      </w:r>
      <w:r>
        <w:t xml:space="preserve">,</w:t>
      </w:r>
      <w:r>
        <w:t xml:space="preserve"> </w:t>
      </w:r>
      <w:r>
        <w:t xml:space="preserve">(</w:t>
      </w:r>
      <w:hyperlink w:anchor="ref-wu2024a">
        <w:r>
          <w:rPr>
            <w:rStyle w:val="Hyperlink"/>
          </w:rPr>
          <w:t xml:space="preserve">28</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34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35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46"/>
    <w:bookmarkStart w:id="47" w:name="productivity-and-efficiency-evidence"/>
    <w:p>
      <w:pPr>
        <w:pStyle w:val="Heading3"/>
      </w:pPr>
      <w:r>
        <w:rPr>
          <w:rStyle w:val="SectionNumber"/>
        </w:rPr>
        <w:t xml:space="preserve">4.1.4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36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36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37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37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38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39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40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41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42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43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10</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44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45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11</w:t>
        </w:r>
      </w:hyperlink>
      <w:r>
        <w:t xml:space="preserve">)</w:t>
      </w:r>
      <w:r>
        <w:t xml:space="preserve">,</w:t>
      </w:r>
      <w:r>
        <w:t xml:space="preserve"> </w:t>
      </w:r>
      <w:r>
        <w:t xml:space="preserve">(</w:t>
      </w:r>
      <w:hyperlink w:anchor="ref-arora2025">
        <w:r>
          <w:rPr>
            <w:rStyle w:val="Hyperlink"/>
          </w:rPr>
          <w:t xml:space="preserve">12</w:t>
        </w:r>
      </w:hyperlink>
      <w:r>
        <w:t xml:space="preserve">)</w:t>
      </w:r>
      <w:r>
        <w:t xml:space="preserve">, suggesting that organizations investing in either capability simultaneously advance both.</w:t>
      </w:r>
    </w:p>
    <w:bookmarkEnd w:id="47"/>
    <w:bookmarkEnd w:id="48"/>
    <w:bookmarkStart w:id="53" w:name="state-of-healthcare-analytics-maturity"/>
    <w:p>
      <w:pPr>
        <w:pStyle w:val="Heading2"/>
      </w:pPr>
      <w:r>
        <w:rPr>
          <w:rStyle w:val="SectionNumber"/>
        </w:rPr>
        <w:t xml:space="preserve">4.2</w:t>
      </w:r>
      <w:r>
        <w:tab/>
      </w:r>
      <w:r>
        <w:t xml:space="preserve">State of Healthcare Analytics Maturity</w:t>
      </w:r>
    </w:p>
    <w:bookmarkStart w:id="49"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46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47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47</w:t>
        </w:r>
      </w:hyperlink>
      <w:r>
        <w:t xml:space="preserve">)</w:t>
      </w:r>
      <w:r>
        <w:t xml:space="preserve">,</w:t>
      </w:r>
      <w:r>
        <w:t xml:space="preserve"> </w:t>
      </w:r>
      <w:r>
        <w:t xml:space="preserve">(</w:t>
      </w:r>
      <w:hyperlink w:anchor="ref-wang2017">
        <w:r>
          <w:rPr>
            <w:rStyle w:val="Hyperlink"/>
          </w:rPr>
          <w:t xml:space="preserve">48</w:t>
        </w:r>
      </w:hyperlink>
      <w:r>
        <w:t xml:space="preserve">)</w:t>
      </w:r>
      <w:r>
        <w:t xml:space="preserve">. The newly revised AMAM model shifts focus from technical capabilities to outcomes, measuring the real impact of analytics on patient care, system-wide operations, and governance.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49</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50</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51</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52</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53</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54</w:t>
        </w:r>
      </w:hyperlink>
      <w:r>
        <w:t xml:space="preserve">)</w:t>
      </w:r>
      <w:r>
        <w:t xml:space="preserve"> </w:t>
      </w:r>
      <w:r>
        <w:t xml:space="preserve">or mortality</w:t>
      </w:r>
      <w:r>
        <w:t xml:space="preserve"> </w:t>
      </w:r>
      <w:r>
        <w:t xml:space="preserve">(</w:t>
      </w:r>
      <w:hyperlink w:anchor="ref-martin2019">
        <w:r>
          <w:rPr>
            <w:rStyle w:val="Hyperlink"/>
          </w:rPr>
          <w:t xml:space="preserve">55</w:t>
        </w:r>
      </w:hyperlink>
      <w:r>
        <w:t xml:space="preserve">)</w:t>
      </w:r>
      <w:r>
        <w:t xml:space="preserve">, suggesting that maturity alone is insufficient without workforce stability.</w:t>
      </w:r>
    </w:p>
    <w:bookmarkEnd w:id="49"/>
    <w:bookmarkStart w:id="50"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56</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57</w:t>
        </w:r>
      </w:hyperlink>
      <w:r>
        <w:t xml:space="preserve">)</w:t>
      </w:r>
      <w:r>
        <w:t xml:space="preserve">, a vendor-produced framework, corroborates these findings, documenting that most healthcare organizations remain at Stages 0-3, characterized by:</w:t>
      </w:r>
    </w:p>
    <w:p>
      <w:pPr>
        <w:pStyle w:val="Compact"/>
        <w:numPr>
          <w:ilvl w:val="0"/>
          <w:numId w:val="1015"/>
        </w:numPr>
      </w:pPr>
      <w:r>
        <w:t xml:space="preserve">Fragmented data sources without integration</w:t>
      </w:r>
    </w:p>
    <w:p>
      <w:pPr>
        <w:pStyle w:val="Compact"/>
        <w:numPr>
          <w:ilvl w:val="0"/>
          <w:numId w:val="1015"/>
        </w:numPr>
      </w:pPr>
      <w:r>
        <w:t xml:space="preserve">Limited automated reporting capabilities</w:t>
      </w:r>
    </w:p>
    <w:p>
      <w:pPr>
        <w:pStyle w:val="Compact"/>
        <w:numPr>
          <w:ilvl w:val="0"/>
          <w:numId w:val="1015"/>
        </w:numPr>
      </w:pPr>
      <w:r>
        <w:t xml:space="preserve">Lack of standardized data governance</w:t>
      </w:r>
    </w:p>
    <w:p>
      <w:pPr>
        <w:pStyle w:val="Compact"/>
        <w:numPr>
          <w:ilvl w:val="0"/>
          <w:numId w:val="1015"/>
        </w:numPr>
      </w:pPr>
      <w:r>
        <w:t xml:space="preserve">Minimal predictive or prescriptive analytics</w:t>
      </w:r>
    </w:p>
    <w:p>
      <w:pPr>
        <w:pStyle w:val="Compact"/>
        <w:numPr>
          <w:ilvl w:val="0"/>
          <w:numId w:val="1015"/>
        </w:numPr>
      </w:pPr>
      <w:r>
        <w:t xml:space="preserve">Absence of real-time decision support</w:t>
      </w:r>
    </w:p>
    <w:bookmarkEnd w:id="50"/>
    <w:bookmarkStart w:id="51"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30</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58</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59</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51"/>
    <w:bookmarkStart w:id="52" w:name="Xd7b008f104e4adb67a8cd8ff8bcb71d09bb7612"/>
    <w:p>
      <w:pPr>
        <w:pStyle w:val="Heading3"/>
      </w:pPr>
      <w:r>
        <w:rPr>
          <w:rStyle w:val="SectionNumber"/>
        </w:rPr>
        <w:t xml:space="preserve">4.2.4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60</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61</w:t>
        </w:r>
      </w:hyperlink>
      <w:r>
        <w:t xml:space="preserve">,</w:t>
      </w:r>
      <w:hyperlink w:anchor="ref-gokalp2023">
        <w:r>
          <w:rPr>
            <w:rStyle w:val="Hyperlink"/>
          </w:rPr>
          <w:t xml:space="preserve">62</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63</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64</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65</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66</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8</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67</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68</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69</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70</w:t>
        </w:r>
      </w:hyperlink>
      <w:r>
        <w:t xml:space="preserve">,</w:t>
      </w:r>
      <w:hyperlink w:anchor="ref-bokov2017">
        <w:r>
          <w:rPr>
            <w:rStyle w:val="Hyperlink"/>
          </w:rPr>
          <w:t xml:space="preserve">71</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72</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73</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74</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w:t>
      </w:r>
    </w:p>
    <w:bookmarkEnd w:id="52"/>
    <w:bookmarkEnd w:id="53"/>
    <w:bookmarkStart w:id="57" w:name="X033aaa01add75caa19416ed7b909f71ff5bd76d"/>
    <w:p>
      <w:pPr>
        <w:pStyle w:val="Heading2"/>
      </w:pPr>
      <w:r>
        <w:rPr>
          <w:rStyle w:val="SectionNumber"/>
        </w:rPr>
        <w:t xml:space="preserve">4.3</w:t>
      </w:r>
      <w:r>
        <w:tab/>
      </w:r>
      <w:r>
        <w:t xml:space="preserve">Healthcare Workforce Turnover and Knowledge Loss</w:t>
      </w:r>
    </w:p>
    <w:bookmarkStart w:id="54"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w:t>
      </w:r>
      <w:r>
        <w:t xml:space="preserve"> </w:t>
      </w:r>
      <w:r>
        <w:t xml:space="preserve">(</w:t>
      </w:r>
      <w:hyperlink w:anchor="ref-wu2024">
        <w:r>
          <w:rPr>
            <w:rStyle w:val="Hyperlink"/>
          </w:rPr>
          <w:t xml:space="preserve">75</w:t>
        </w:r>
      </w:hyperlink>
      <w:r>
        <w:t xml:space="preserve">)</w:t>
      </w:r>
      <w:r>
        <w:t xml:space="preserve"> </w:t>
      </w:r>
      <w:r>
        <w:t xml:space="preserve">found a pooled prevalence of nurse turnover at 18% (95% CI: 11-26%), with individual study rates ranging from 2.2% to 50.0% across 15 countries, including a reported range of 11.7% to 46.7% within the United States. Ren et al.</w:t>
      </w:r>
      <w:r>
        <w:t xml:space="preserve"> </w:t>
      </w:r>
      <w:r>
        <w:t xml:space="preserve">(</w:t>
      </w:r>
      <w:hyperlink w:anchor="ref-ren2024">
        <w:r>
          <w:rPr>
            <w:rStyle w:val="Hyperlink"/>
          </w:rPr>
          <w:t xml:space="preserve">76</w:t>
        </w:r>
      </w:hyperlink>
      <w:r>
        <w:t xml:space="preserve">)</w:t>
      </w:r>
      <w:r>
        <w:t xml:space="preserve"> </w:t>
      </w:r>
      <w:r>
        <w:t xml:space="preserve">corroborated these findings with a global nurse turnover rate ranging from 8% to 36.6%, with a pooled rate of 16% (95% CI: 14-17%).</w:t>
      </w:r>
    </w:p>
    <w:p>
      <w:pPr>
        <w:pStyle w:val="BodyText"/>
      </w:pPr>
      <w:r>
        <w:t xml:space="preserve">The financial implications are substantial. Massingham</w:t>
      </w:r>
      <w:r>
        <w:t xml:space="preserve"> </w:t>
      </w:r>
      <w:r>
        <w:t xml:space="preserve">(</w:t>
      </w:r>
      <w:hyperlink w:anchor="ref-massingham2018">
        <w:r>
          <w:rPr>
            <w:rStyle w:val="Hyperlink"/>
          </w:rPr>
          <w:t xml:space="preserve">77</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78</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79</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80</w:t>
        </w:r>
      </w:hyperlink>
      <w:r>
        <w:t xml:space="preserve">)</w:t>
      </w:r>
      <w:r>
        <w:t xml:space="preserve">. Vendor analysis from Oracle</w:t>
      </w:r>
      <w:r>
        <w:t xml:space="preserve"> </w:t>
      </w:r>
      <w:r>
        <w:t xml:space="preserve">(</w:t>
      </w:r>
      <w:hyperlink w:anchor="ref-oracle2024">
        <w:r>
          <w:rPr>
            <w:rStyle w:val="Hyperlink"/>
          </w:rPr>
          <w:t xml:space="preserve">81</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hires leaving within their first year</w:t>
      </w:r>
      <w:r>
        <w:t xml:space="preserve"> </w:t>
      </w:r>
      <w:r>
        <w:t xml:space="preserve">(</w:t>
      </w:r>
      <w:hyperlink w:anchor="ref-nsi2025">
        <w:r>
          <w:rPr>
            <w:rStyle w:val="Hyperlink"/>
          </w:rPr>
          <w:t xml:space="preserve">6</w:t>
        </w:r>
      </w:hyperlink>
      <w:r>
        <w:t xml:space="preserve">)</w:t>
      </w:r>
      <w:r>
        <w:t xml:space="preserve">, the crisis in technology roles is distinct and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providers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Contemporary evidence supports this trend: a 2025 analysis of nationally representative US survey data (n=44,732) found that 55% of public health informatics specialists intended to leave their positions</w:t>
      </w:r>
      <w:r>
        <w:t xml:space="preserve"> </w:t>
      </w:r>
      <w:r>
        <w:t xml:space="preserve">(</w:t>
      </w:r>
      <w:hyperlink w:anchor="ref-rajamani2025">
        <w:r>
          <w:rPr>
            <w:rStyle w:val="Hyperlink"/>
          </w:rPr>
          <w:t xml:space="preserve">14</w:t>
        </w:r>
      </w:hyperlink>
      <w:r>
        <w:t xml:space="preserve">)</w:t>
      </w:r>
      <w:r>
        <w:t xml:space="preserve">.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82</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83</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84</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85</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care continuity is well-documented. Clinical handover disruption is internationally recognized as a patient safety priority because it represents a fundamental disruption to continuity of care and is prone to errors</w:t>
      </w:r>
      <w:r>
        <w:t xml:space="preserve"> </w:t>
      </w:r>
      <w:r>
        <w:t xml:space="preserve">(</w:t>
      </w:r>
      <w:hyperlink w:anchor="ref-rangachari2020">
        <w:r>
          <w:rPr>
            <w:rStyle w:val="Hyperlink"/>
          </w:rPr>
          <w:t xml:space="preserve">86</w:t>
        </w:r>
      </w:hyperlink>
      <w:r>
        <w:t xml:space="preserve">)</w:t>
      </w:r>
      <w:r>
        <w:t xml:space="preserve">. Empirical studies demonstrate that nursing unit turnover reduces workgroup learning and is associated with increased patient falls, medication errors, and reduced patient satisfaction</w:t>
      </w:r>
      <w:r>
        <w:t xml:space="preserve"> </w:t>
      </w:r>
      <w:r>
        <w:t xml:space="preserve">(</w:t>
      </w:r>
      <w:hyperlink w:anchor="ref-bae2010">
        <w:r>
          <w:rPr>
            <w:rStyle w:val="Hyperlink"/>
          </w:rPr>
          <w:t xml:space="preserve">87</w:t>
        </w:r>
      </w:hyperlink>
      <w:r>
        <w:t xml:space="preserve">)</w:t>
      </w:r>
      <w:r>
        <w:t xml:space="preserve">. International evidence links high workforce turnover to poorer continuity of care, particularly in remote health services, with measurable outcomes including increased hospitalizations and years of life lost</w:t>
      </w:r>
      <w:r>
        <w:t xml:space="preserve"> </w:t>
      </w:r>
      <w:r>
        <w:t xml:space="preserve">(</w:t>
      </w:r>
      <w:hyperlink w:anchor="ref-wakerman2019">
        <w:r>
          <w:rPr>
            <w:rStyle w:val="Hyperlink"/>
          </w:rPr>
          <w:t xml:space="preserve">88</w:t>
        </w:r>
      </w:hyperlink>
      <w:r>
        <w:t xml:space="preserve">)</w:t>
      </w:r>
      <w:r>
        <w:t xml:space="preserve">. When senior executives and knowledge workers depart, organizations experience</w:t>
      </w:r>
      <w:r>
        <w:t xml:space="preserve"> </w:t>
      </w:r>
      <w:r>
        <w:t xml:space="preserve">“</w:t>
      </w:r>
      <w:r>
        <w:t xml:space="preserve">corporate memory loss</w:t>
      </w:r>
      <w:r>
        <w:t xml:space="preserve">”</w:t>
      </w:r>
      <w:r>
        <w:t xml:space="preserve"> </w:t>
      </w:r>
      <w:r>
        <w:t xml:space="preserve">that undermines organizational continuity and effectiveness</w:t>
      </w:r>
      <w:r>
        <w:t xml:space="preserve"> </w:t>
      </w:r>
      <w:r>
        <w:t xml:space="preserve">(</w:t>
      </w:r>
      <w:hyperlink w:anchor="ref-lahaie2005">
        <w:r>
          <w:rPr>
            <w:rStyle w:val="Hyperlink"/>
          </w:rPr>
          <w:t xml:space="preserve">89</w:t>
        </w:r>
      </w:hyperlink>
      <w:r>
        <w:t xml:space="preserve">)</w:t>
      </w:r>
      <w:r>
        <w:t xml:space="preserve">.</w:t>
      </w:r>
    </w:p>
    <w:bookmarkEnd w:id="54"/>
    <w:bookmarkStart w:id="55"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90</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91</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92</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93</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94</w:t>
        </w:r>
      </w:hyperlink>
      <w:r>
        <w:t xml:space="preserve">)</w:t>
      </w:r>
      <w:r>
        <w:t xml:space="preserve">.</w:t>
      </w:r>
    </w:p>
    <w:bookmarkEnd w:id="55"/>
    <w:bookmarkStart w:id="56"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mayo2016">
        <w:r>
          <w:rPr>
            <w:rStyle w:val="Hyperlink"/>
          </w:rPr>
          <w:t xml:space="preserve">90</w:t>
        </w:r>
      </w:hyperlink>
      <w:r>
        <w:t xml:space="preserve">,</w:t>
      </w:r>
      <w:hyperlink w:anchor="ref-shahbaz2019">
        <w:r>
          <w:rPr>
            <w:rStyle w:val="Hyperlink"/>
          </w:rPr>
          <w:t xml:space="preserve">95</w:t>
        </w:r>
      </w:hyperlink>
      <w:r>
        <w:t xml:space="preserve">)</w:t>
      </w:r>
      <w:r>
        <w:t xml:space="preserve">:</w:t>
      </w:r>
    </w:p>
    <w:p>
      <w:pPr>
        <w:pStyle w:val="Compact"/>
        <w:numPr>
          <w:ilvl w:val="0"/>
          <w:numId w:val="1016"/>
        </w:numPr>
      </w:pPr>
      <w:r>
        <w:t xml:space="preserve">Traditional knowledge transfer mechanisms show limited effectiveness</w:t>
      </w:r>
    </w:p>
    <w:p>
      <w:pPr>
        <w:pStyle w:val="Compact"/>
        <w:numPr>
          <w:ilvl w:val="0"/>
          <w:numId w:val="1016"/>
        </w:numPr>
      </w:pPr>
      <w:r>
        <w:t xml:space="preserve">Organizations struggle to capture and maintain analytical expertise</w:t>
      </w:r>
    </w:p>
    <w:p>
      <w:pPr>
        <w:pStyle w:val="Compact"/>
        <w:numPr>
          <w:ilvl w:val="0"/>
          <w:numId w:val="1016"/>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95</w:t>
        </w:r>
      </w:hyperlink>
      <w:r>
        <w:t xml:space="preserve">)</w:t>
      </w:r>
    </w:p>
    <w:p>
      <w:pPr>
        <w:pStyle w:val="Compact"/>
        <w:numPr>
          <w:ilvl w:val="0"/>
          <w:numId w:val="1016"/>
        </w:numPr>
      </w:pPr>
      <w:r>
        <w:t xml:space="preserve">Person-to-person knowledge transfer fails during rapid turnover cycles</w:t>
      </w:r>
    </w:p>
    <w:bookmarkEnd w:id="56"/>
    <w:bookmarkEnd w:id="57"/>
    <w:bookmarkStart w:id="61" w:name="Xca10dac733c4b284609ad3ca0d26f7400b78729"/>
    <w:p>
      <w:pPr>
        <w:pStyle w:val="Heading2"/>
      </w:pPr>
      <w:r>
        <w:rPr>
          <w:rStyle w:val="SectionNumber"/>
        </w:rPr>
        <w:t xml:space="preserve">4.4</w:t>
      </w:r>
      <w:r>
        <w:tab/>
      </w:r>
      <w:r>
        <w:t xml:space="preserve">Integration of Evidence: Synthesis Across Three Pillars</w:t>
      </w:r>
    </w:p>
    <w:bookmarkStart w:id="58"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reveals compounding effects that the three-pillar framework synthesizes.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8"/>
    <w:bookmarkStart w:id="59" w:name="Xc272885ef3cb2467680850506ab8b3231a25658"/>
    <w:p>
      <w:pPr>
        <w:pStyle w:val="Heading3"/>
      </w:pPr>
      <w:r>
        <w:rPr>
          <w:rStyle w:val="SectionNumber"/>
        </w:rPr>
        <w:t xml:space="preserve">4.4.2</w:t>
      </w:r>
      <w:r>
        <w:tab/>
      </w:r>
      <w:r>
        <w:t xml:space="preserve">Knowledge Preservation Through Embedded Systems</w:t>
      </w:r>
    </w:p>
    <w:p>
      <w:pPr>
        <w:pStyle w:val="FirstParagraph"/>
      </w:pPr>
      <w:r>
        <w:t xml:space="preserve">The literature suggests that effective knowledge preservation requires active, embedded systems rather than passive documentation. When organizations choose to implement AI-based platforms, these can serve as organizational memory systems by:</w:t>
      </w:r>
    </w:p>
    <w:p>
      <w:pPr>
        <w:pStyle w:val="Compact"/>
        <w:numPr>
          <w:ilvl w:val="0"/>
          <w:numId w:val="1017"/>
        </w:numPr>
      </w:pPr>
      <w:r>
        <w:t xml:space="preserve">Capturing decision-making patterns through usage</w:t>
      </w:r>
    </w:p>
    <w:p>
      <w:pPr>
        <w:pStyle w:val="Compact"/>
        <w:numPr>
          <w:ilvl w:val="0"/>
          <w:numId w:val="1017"/>
        </w:numPr>
      </w:pPr>
      <w:r>
        <w:t xml:space="preserve">Encoding best practices in accessible formats</w:t>
      </w:r>
    </w:p>
    <w:p>
      <w:pPr>
        <w:pStyle w:val="Compact"/>
        <w:numPr>
          <w:ilvl w:val="0"/>
          <w:numId w:val="1017"/>
        </w:numPr>
      </w:pPr>
      <w:r>
        <w:t xml:space="preserve">Providing context-aware guidance to new users</w:t>
      </w:r>
    </w:p>
    <w:p>
      <w:pPr>
        <w:pStyle w:val="Compact"/>
        <w:numPr>
          <w:ilvl w:val="0"/>
          <w:numId w:val="1017"/>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9"/>
    <w:bookmarkStart w:id="60"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A foundational systematic review of AI conversational agents in healthcare</w:t>
      </w:r>
      <w:r>
        <w:t xml:space="preserve"> </w:t>
      </w:r>
      <w:r>
        <w:t xml:space="preserve">(</w:t>
      </w:r>
      <w:hyperlink w:anchor="ref-milneives2020">
        <w:r>
          <w:rPr>
            <w:rStyle w:val="Hyperlink"/>
          </w:rPr>
          <w:t xml:space="preserve">96</w:t>
        </w:r>
      </w:hyperlink>
      <w:r>
        <w:t xml:space="preserve">)</w:t>
      </w:r>
      <w:r>
        <w:t xml:space="preserve"> </w:t>
      </w:r>
      <w:r>
        <w:t xml:space="preserve">established that such systems reduce burden on healthcare resources and save providers’ time, though the review identified a need for more rigorous quantitative validation.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97</w:t>
        </w:r>
      </w:hyperlink>
      <w:r>
        <w:t xml:space="preserve">)</w:t>
      </w:r>
      <w:r>
        <w:t xml:space="preserve">. Real-world validation at scale comes from a study of conversational AI across nine NHS mental health services involving 64,862 patients, demonstrating reduced clinician assessment time, shorter patient wait times, and lower dropout rates</w:t>
      </w:r>
      <w:r>
        <w:t xml:space="preserve"> </w:t>
      </w:r>
      <w:r>
        <w:t xml:space="preserve">(</w:t>
      </w:r>
      <w:hyperlink w:anchor="ref-rollwage2023">
        <w:r>
          <w:rPr>
            <w:rStyle w:val="Hyperlink"/>
          </w:rPr>
          <w:t xml:space="preserve">98</w:t>
        </w:r>
      </w:hyperlink>
      <w:r>
        <w:t xml:space="preserve">)</w:t>
      </w:r>
      <w:r>
        <w:t xml:space="preserve">. On the clinical AI side, Sezgin et al.</w:t>
      </w:r>
      <w:r>
        <w:t xml:space="preserve"> </w:t>
      </w:r>
      <w:r>
        <w:t xml:space="preserve">(</w:t>
      </w:r>
      <w:hyperlink w:anchor="ref-sezgin2022">
        <w:r>
          <w:rPr>
            <w:rStyle w:val="Hyperlink"/>
          </w:rPr>
          <w:t xml:space="preserve">99</w:t>
        </w:r>
      </w:hyperlink>
      <w:r>
        <w:t xml:space="preserve">)</w:t>
      </w:r>
      <w:r>
        <w:t xml:space="preserve"> </w:t>
      </w:r>
      <w:r>
        <w:t xml:space="preserve">demonstrated that GPT-3-powered chatbots can reduce overhead at clinics, while Jiao et al.</w:t>
      </w:r>
      <w:r>
        <w:t xml:space="preserve"> </w:t>
      </w:r>
      <w:r>
        <w:t xml:space="preserve">(</w:t>
      </w:r>
      <w:hyperlink w:anchor="ref-jiao2023">
        <w:r>
          <w:rPr>
            <w:rStyle w:val="Hyperlink"/>
          </w:rPr>
          <w:t xml:space="preserve">100</w:t>
        </w:r>
      </w:hyperlink>
      <w:r>
        <w:t xml:space="preserve">)</w:t>
      </w:r>
      <w:r>
        <w:t xml:space="preserve"> </w:t>
      </w:r>
      <w:r>
        <w:t xml:space="preserve">found AI adoption leads to cost savings through improved service delivery and shorter hospitalization lengths. Dai and Abramoff</w:t>
      </w:r>
      <w:r>
        <w:t xml:space="preserve"> </w:t>
      </w:r>
      <w:r>
        <w:t xml:space="preserve">(</w:t>
      </w:r>
      <w:hyperlink w:anchor="ref-dai2023">
        <w:r>
          <w:rPr>
            <w:rStyle w:val="Hyperlink"/>
          </w:rPr>
          <w:t xml:space="preserve">101</w:t>
        </w:r>
      </w:hyperlink>
      <w:r>
        <w:t xml:space="preserve">)</w:t>
      </w:r>
      <w:r>
        <w:t xml:space="preserve"> </w:t>
      </w:r>
      <w:r>
        <w:t xml:space="preserve">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reports over 1,600 individuals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A systematic literature review of 17 peer-reviewed papers identified cost and time minimization as the most frequently discussed benefits of low-code development, with healthcare among the primary implementation domains</w:t>
      </w:r>
      <w:r>
        <w:t xml:space="preserve"> </w:t>
      </w:r>
      <w:r>
        <w:t xml:space="preserve">(</w:t>
      </w:r>
      <w:hyperlink w:anchor="ref-elkamouchi2023">
        <w:r>
          <w:rPr>
            <w:rStyle w:val="Hyperlink"/>
          </w:rPr>
          <w:t xml:space="preserve">103</w:t>
        </w:r>
      </w:hyperlink>
      <w:r>
        <w:t xml:space="preserve">)</w:t>
      </w:r>
      <w:r>
        <w:t xml:space="preserve">. Controlled experiments quantify these benefits: a comparative study of traditional versus low-code development for a healthcare cognitive rehabilitation system found low-code required 47.5 hours versus 888 hours for traditional development, representing a 94.63% reduction in effort</w:t>
      </w:r>
      <w:r>
        <w:t xml:space="preserve"> </w:t>
      </w:r>
      <w:r>
        <w:t xml:space="preserve">(</w:t>
      </w:r>
      <w:hyperlink w:anchor="ref-aveiro2023">
        <w:r>
          <w:rPr>
            <w:rStyle w:val="Hyperlink"/>
          </w:rPr>
          <w:t xml:space="preserve">104</w:t>
        </w:r>
      </w:hyperlink>
      <w:r>
        <w:t xml:space="preserve">)</w:t>
      </w:r>
      <w:r>
        <w:t xml:space="preserve">.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low-code implementations; peer-reviewed studies report similar findings, with healthcare institutions achieving 177% ROI over 36 months while reducing development time by 67% and technical resource requirements by 58%</w:t>
      </w:r>
      <w:r>
        <w:t xml:space="preserve"> </w:t>
      </w:r>
      <w:r>
        <w:t xml:space="preserve">(</w:t>
      </w:r>
      <w:hyperlink w:anchor="ref-mogili2025">
        <w:r>
          <w:rPr>
            <w:rStyle w:val="Hyperlink"/>
          </w:rPr>
          <w:t xml:space="preserve">106</w:t>
        </w:r>
      </w:hyperlink>
      <w:r>
        <w:t xml:space="preserve">)</w:t>
      </w:r>
      <w:r>
        <w:t xml:space="preserve">, and small healthcare clinics achieving 250% cumulative ROI over three years</w:t>
      </w:r>
      <w:r>
        <w:t xml:space="preserve"> </w:t>
      </w:r>
      <w:r>
        <w:t xml:space="preserve">(</w:t>
      </w:r>
      <w:hyperlink w:anchor="ref-pervaiz2025">
        <w:r>
          <w:rPr>
            <w:rStyle w:val="Hyperlink"/>
          </w:rPr>
          <w:t xml:space="preserve">107</w:t>
        </w:r>
      </w:hyperlink>
      <w:r>
        <w:t xml:space="preserve">)</w:t>
      </w:r>
      <w:r>
        <w:t xml:space="preserve">.</w:t>
      </w:r>
    </w:p>
    <w:p>
      <w:pPr>
        <w:pStyle w:val="BodyText"/>
      </w:pPr>
      <w:r>
        <w:t xml:space="preserve">Healthcare-specific studies show concrete benefits across both approaches: Pennington</w:t>
      </w:r>
      <w:r>
        <w:t xml:space="preserve"> </w:t>
      </w:r>
      <w:r>
        <w:t xml:space="preserve">(</w:t>
      </w:r>
      <w:hyperlink w:anchor="ref-pennington2023">
        <w:r>
          <w:rPr>
            <w:rStyle w:val="Hyperlink"/>
          </w:rPr>
          <w:t xml:space="preserve">108</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109</w:t>
        </w:r>
      </w:hyperlink>
      <w:r>
        <w:t xml:space="preserve">)</w:t>
      </w:r>
      <w:r>
        <w:t xml:space="preserve"> </w:t>
      </w:r>
      <w:r>
        <w:t xml:space="preserve">documented how low-code platforms enable non-technical staff to build applications, leading to efficiency gains. Rapid application development using low-code characteristics enabled an mHealth app for COVID-19 remote care that saved 2,822 hospital bed-days for 400 enrolled patients</w:t>
      </w:r>
      <w:r>
        <w:t xml:space="preserve"> </w:t>
      </w:r>
      <w:r>
        <w:t xml:space="preserve">(</w:t>
      </w:r>
      <w:hyperlink w:anchor="ref-tan2023">
        <w:r>
          <w:rPr>
            <w:rStyle w:val="Hyperlink"/>
          </w:rPr>
          <w:t xml:space="preserve">110</w:t>
        </w:r>
      </w:hyperlink>
      <w:r>
        <w:t xml:space="preserve">)</w:t>
      </w:r>
      <w:r>
        <w:t xml:space="preserve">. These findings collectively demonstrate that technologies enabling non-technical users to interact with complex systems, whether through visual interfaces or natural language, produce measurable organizational benefits.</w:t>
      </w:r>
    </w:p>
    <w:bookmarkEnd w:id="60"/>
    <w:bookmarkEnd w:id="61"/>
    <w:bookmarkStart w:id="65" w:name="Xe532debb859e62ad2038db373f15ff8608a8c3a"/>
    <w:p>
      <w:pPr>
        <w:pStyle w:val="Heading2"/>
      </w:pPr>
      <w:r>
        <w:rPr>
          <w:rStyle w:val="SectionNumber"/>
        </w:rPr>
        <w:t xml:space="preserve">4.5</w:t>
      </w:r>
      <w:r>
        <w:tab/>
      </w:r>
      <w:r>
        <w:t xml:space="preserve">Implications for Healthcare Organizations</w:t>
      </w:r>
    </w:p>
    <w:bookmarkStart w:id="62" w:name="Xda31a2d9f3faedf8d0d62ee49f3838d0ae1b3c5"/>
    <w:p>
      <w:pPr>
        <w:pStyle w:val="Heading3"/>
      </w:pPr>
      <w:r>
        <w:rPr>
          <w:rStyle w:val="SectionNumber"/>
        </w:rPr>
        <w:t xml:space="preserve">4.5.1</w:t>
      </w:r>
      <w:r>
        <w:tab/>
      </w:r>
      <w:r>
        <w:t xml:space="preserve">Framework Alignment with Industry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2"/>
    <w:bookmarkStart w:id="63" w:name="Xed5de637fc9df73f884d83cf394765ecb53834c"/>
    <w:p>
      <w:pPr>
        <w:pStyle w:val="Heading3"/>
      </w:pPr>
      <w:r>
        <w:rPr>
          <w:rStyle w:val="SectionNumber"/>
        </w:rPr>
        <w:t xml:space="preserve">4.5.2</w:t>
      </w:r>
      <w:r>
        <w:tab/>
      </w:r>
      <w:r>
        <w:t xml:space="preserve">ROI Evidence Across Barrier-Reducing Approaches</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100</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108</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99</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103</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106</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107</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111</w:t>
        </w:r>
      </w:hyperlink>
      <w:r>
        <w:t xml:space="preserve">)</w:t>
      </w:r>
      <w:r>
        <w:t xml:space="preserve"> </w:t>
      </w:r>
      <w:r>
        <w:t xml:space="preserve">projects the healthcare analytics market to grow from $64.49 billion in 2025 to $369.66 billion by 2034 (21.41% CAGR).</w:t>
      </w:r>
    </w:p>
    <w:bookmarkEnd w:id="63"/>
    <w:bookmarkStart w:id="64" w:name="knowledge-preservation-as-risk-factor"/>
    <w:p>
      <w:pPr>
        <w:pStyle w:val="Heading3"/>
      </w:pPr>
      <w:r>
        <w:rPr>
          <w:rStyle w:val="SectionNumber"/>
        </w:rPr>
        <w:t xml:space="preserve">4.5.3</w:t>
      </w:r>
      <w:r>
        <w:tab/>
      </w:r>
      <w:r>
        <w:t xml:space="preserve">Knowledge Preservation as Risk Factor</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112</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113</w:t>
        </w:r>
      </w:hyperlink>
      <w:r>
        <w:t xml:space="preserve">)</w:t>
      </w:r>
      <w:r>
        <w:t xml:space="preserve">. This theoretical foundation supports embedding organizational knowledge in systems rather than individuals, ensuring continuity despite workforce turnover.</w:t>
      </w:r>
    </w:p>
    <w:bookmarkEnd w:id="64"/>
    <w:bookmarkEnd w:id="65"/>
    <w:bookmarkStart w:id="66"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8"/>
        </w:numPr>
      </w:pPr>
      <w:r>
        <w:rPr>
          <w:b/>
          <w:bCs/>
        </w:rPr>
        <w:t xml:space="preserve">Long-term outcomes</w:t>
      </w:r>
      <w:r>
        <w:t xml:space="preserve">: Most studies examine 6-24 month implementations; multi-year impacts remain understudied</w:t>
      </w:r>
    </w:p>
    <w:p>
      <w:pPr>
        <w:pStyle w:val="Compact"/>
        <w:numPr>
          <w:ilvl w:val="0"/>
          <w:numId w:val="1018"/>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8"/>
        </w:numPr>
      </w:pPr>
      <w:r>
        <w:rPr>
          <w:b/>
          <w:bCs/>
        </w:rPr>
        <w:t xml:space="preserve">Governance frameworks</w:t>
      </w:r>
      <w:r>
        <w:t xml:space="preserve">: Limited research on optimal governance models for democratized analytics</w:t>
      </w:r>
    </w:p>
    <w:p>
      <w:pPr>
        <w:pStyle w:val="Compact"/>
        <w:numPr>
          <w:ilvl w:val="0"/>
          <w:numId w:val="1018"/>
        </w:numPr>
      </w:pPr>
      <w:r>
        <w:rPr>
          <w:b/>
          <w:bCs/>
        </w:rPr>
        <w:t xml:space="preserve">Training methodologies</w:t>
      </w:r>
      <w:r>
        <w:t xml:space="preserve">: Best practices for transitioning from traditional to conversational analytics lack empirical validation</w:t>
      </w:r>
    </w:p>
    <w:p>
      <w:pPr>
        <w:pStyle w:val="Compact"/>
        <w:numPr>
          <w:ilvl w:val="0"/>
          <w:numId w:val="1018"/>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8"/>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37</w:t>
        </w:r>
      </w:hyperlink>
      <w:r>
        <w:t xml:space="preserve">)</w:t>
      </w:r>
      <w:r>
        <w:t xml:space="preserve">,</w:t>
      </w:r>
      <w:r>
        <w:t xml:space="preserve"> </w:t>
      </w:r>
      <w:r>
        <w:t xml:space="preserve">(</w:t>
      </w:r>
      <w:hyperlink w:anchor="ref-dadi2025">
        <w:r>
          <w:rPr>
            <w:rStyle w:val="Hyperlink"/>
          </w:rPr>
          <w:t xml:space="preserve">36</w:t>
        </w:r>
      </w:hyperlink>
      <w:r>
        <w:t xml:space="preserve">)</w:t>
      </w:r>
      <w:r>
        <w:t xml:space="preserve">,</w:t>
      </w:r>
      <w:r>
        <w:t xml:space="preserve"> </w:t>
      </w:r>
      <w:r>
        <w:t xml:space="preserve">(</w:t>
      </w:r>
      <w:hyperlink w:anchor="ref-shah2020">
        <w:r>
          <w:rPr>
            <w:rStyle w:val="Hyperlink"/>
          </w:rPr>
          <w:t xml:space="preserve">40</w:t>
        </w:r>
      </w:hyperlink>
      <w:r>
        <w:t xml:space="preserve">)</w:t>
      </w:r>
      <w:r>
        <w:t xml:space="preserve">,</w:t>
      </w:r>
      <w:r>
        <w:t xml:space="preserve"> </w:t>
      </w:r>
      <w:r>
        <w:t xml:space="preserve">(</w:t>
      </w:r>
      <w:hyperlink w:anchor="ref-ipeirotis2025">
        <w:r>
          <w:rPr>
            <w:rStyle w:val="Hyperlink"/>
          </w:rPr>
          <w:t xml:space="preserve">39</w:t>
        </w:r>
      </w:hyperlink>
      <w:r>
        <w:t xml:space="preserve">)</w:t>
      </w:r>
      <w:r>
        <w:t xml:space="preserve">), longitudinal studies tracking sustained productivity improvements over multiple years remain limited</w:t>
      </w:r>
    </w:p>
    <w:p>
      <w:pPr>
        <w:pStyle w:val="Compact"/>
        <w:numPr>
          <w:ilvl w:val="0"/>
          <w:numId w:val="1018"/>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102</w:t>
        </w:r>
      </w:hyperlink>
      <w:r>
        <w:t xml:space="preserve">)</w:t>
      </w:r>
      <w:r>
        <w:t xml:space="preserve">, the methodology for quantifying their productivity contributions lacks standardization across studies</w:t>
      </w:r>
    </w:p>
    <w:p>
      <w:pPr>
        <w:pStyle w:val="Compact"/>
        <w:numPr>
          <w:ilvl w:val="0"/>
          <w:numId w:val="1018"/>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49</w:t>
        </w:r>
      </w:hyperlink>
      <w:r>
        <w:t xml:space="preserve">,</w:t>
      </w:r>
      <w:hyperlink w:anchor="ref-snowdon2024a">
        <w:r>
          <w:rPr>
            <w:rStyle w:val="Hyperlink"/>
          </w:rPr>
          <w:t xml:space="preserve">50</w:t>
        </w:r>
      </w:hyperlink>
      <w:r>
        <w:t xml:space="preserve">)</w:t>
      </w:r>
      <w:r>
        <w:t xml:space="preserve">. As of this review, AMAM-specific outcome studies remain very limited, providing only emerging evidence for analytics maturity (as distinct from EHR adoption) impact on outcomes</w:t>
      </w:r>
    </w:p>
    <w:bookmarkEnd w:id="66"/>
    <w:bookmarkStart w:id="69"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7"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20</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7</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114</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115</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116</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117</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118</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120</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121</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7"/>
    <w:bookmarkStart w:id="68"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8"/>
    <w:bookmarkEnd w:id="69"/>
    <w:bookmarkEnd w:id="70"/>
    <w:bookmarkStart w:id="96" w:name="discussion"/>
    <w:p>
      <w:pPr>
        <w:pStyle w:val="Heading1"/>
      </w:pPr>
      <w:r>
        <w:rPr>
          <w:rStyle w:val="SectionNumber"/>
        </w:rPr>
        <w:t xml:space="preserve">5</w:t>
      </w:r>
      <w:r>
        <w:tab/>
      </w:r>
      <w:r>
        <w:t xml:space="preserve">Discussion</w:t>
      </w:r>
    </w:p>
    <w:bookmarkStart w:id="76"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1"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27</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28</w:t>
        </w:r>
      </w:hyperlink>
      <w:r>
        <w:t xml:space="preserve">)</w:t>
      </w:r>
      <w:r>
        <w:t xml:space="preserve"> </w:t>
      </w:r>
      <w:r>
        <w:t xml:space="preserve">offer reproducible, quantitative performance metrics.</w:t>
      </w:r>
    </w:p>
    <w:bookmarkEnd w:id="71"/>
    <w:bookmarkStart w:id="72"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w:t>
      </w:r>
      <w:r>
        <w:t xml:space="preserve"> </w:t>
      </w:r>
      <w:r>
        <w:t xml:space="preserve">(</w:t>
      </w:r>
      <w:hyperlink w:anchor="ref-berkshire2024">
        <w:r>
          <w:rPr>
            <w:rStyle w:val="Hyperlink"/>
          </w:rPr>
          <w:t xml:space="preserve">102</w:t>
        </w:r>
      </w:hyperlink>
      <w:r>
        <w:t xml:space="preserve">)</w:t>
      </w:r>
      <w:r>
        <w:t xml:space="preserve"> </w:t>
      </w:r>
      <w:r>
        <w:t xml:space="preserve">demonstrates successful low-code adoption in healthcare, with over 800 citizen developers creating solutions. This provides concrete evidence that non-technical healthcare professionals can effectively use these platforms.</w:t>
      </w:r>
    </w:p>
    <w:bookmarkEnd w:id="72"/>
    <w:bookmarkStart w:id="73" w:name="reveals-interconnected-challenges"/>
    <w:p>
      <w:pPr>
        <w:pStyle w:val="Heading3"/>
      </w:pPr>
      <w:r>
        <w:rPr>
          <w:rStyle w:val="SectionNumber"/>
        </w:rPr>
        <w:t xml:space="preserve">5.1.3</w:t>
      </w:r>
      <w:r>
        <w:tab/>
      </w:r>
      <w:r>
        <w:t xml:space="preserve">Reveals 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3"/>
    <w:bookmarkStart w:id="74"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111</w:t>
        </w:r>
      </w:hyperlink>
      <w:r>
        <w:t xml:space="preserve">)</w:t>
      </w:r>
      <w:r>
        <w:t xml:space="preserve"> </w:t>
      </w:r>
      <w:r>
        <w:t xml:space="preserve">showing the healthcare analytics market expanding from $64.49B to $369.66B by 2034 indicate sustained investment demand.</w:t>
      </w:r>
    </w:p>
    <w:bookmarkEnd w:id="74"/>
    <w:bookmarkStart w:id="75"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24</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13</w:t>
        </w:r>
      </w:hyperlink>
      <w:r>
        <w:t xml:space="preserve">,</w:t>
      </w:r>
      <w:hyperlink w:anchor="ref-wu2024a">
        <w:r>
          <w:rPr>
            <w:rStyle w:val="Hyperlink"/>
          </w:rPr>
          <w:t xml:space="preserve">28</w:t>
        </w:r>
      </w:hyperlink>
      <w:r>
        <w:t xml:space="preserve">)</w:t>
      </w:r>
      <w:r>
        <w:t xml:space="preserve"> </w:t>
      </w:r>
      <w:r>
        <w:t xml:space="preserve">show significant gaps between benchmark performance and clinical readiness. This honest assessment enables appropriate implementation strategies.</w:t>
      </w:r>
    </w:p>
    <w:bookmarkEnd w:id="75"/>
    <w:bookmarkEnd w:id="76"/>
    <w:bookmarkStart w:id="83"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7"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9</w:t>
        </w:r>
      </w:hyperlink>
      <w:r>
        <w:t xml:space="preserve">)</w:t>
      </w:r>
      <w:r>
        <w:t xml:space="preserve">.</w:t>
      </w:r>
    </w:p>
    <w:bookmarkEnd w:id="77"/>
    <w:bookmarkStart w:id="78"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8"/>
    <w:bookmarkStart w:id="79"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9"/>
    <w:bookmarkStart w:id="80"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0"/>
    <w:bookmarkStart w:id="81"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1"/>
    <w:bookmarkStart w:id="82"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2"/>
    <w:bookmarkEnd w:id="83"/>
    <w:bookmarkStart w:id="87"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4"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9"/>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9"/>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9"/>
        </w:numPr>
      </w:pPr>
      <w:r>
        <w:rPr>
          <w:b/>
          <w:bCs/>
        </w:rPr>
        <w:t xml:space="preserve">Governance Framework Development</w:t>
      </w:r>
      <w:r>
        <w:t xml:space="preserve">: Research on optimal governance models for democratized analytics</w:t>
      </w:r>
    </w:p>
    <w:bookmarkEnd w:id="84"/>
    <w:bookmarkStart w:id="85"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0"/>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0"/>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0"/>
        </w:numPr>
      </w:pPr>
      <w:r>
        <w:rPr>
          <w:b/>
          <w:bCs/>
        </w:rPr>
        <w:t xml:space="preserve">Longitudinal Outcome Studies</w:t>
      </w:r>
      <w:r>
        <w:t xml:space="preserve">: Multi-year implementations to assess sustained benefits and organizational evolution</w:t>
      </w:r>
    </w:p>
    <w:p>
      <w:pPr>
        <w:pStyle w:val="Compact"/>
        <w:numPr>
          <w:ilvl w:val="0"/>
          <w:numId w:val="1020"/>
        </w:numPr>
      </w:pPr>
      <w:r>
        <w:rPr>
          <w:b/>
          <w:bCs/>
        </w:rPr>
        <w:t xml:space="preserve">Comparative Effectiveness Research</w:t>
      </w:r>
      <w:r>
        <w:t xml:space="preserve">: Head-to-head comparisons of different conversational AI approaches on healthcare-specific benchmarks</w:t>
      </w:r>
    </w:p>
    <w:bookmarkEnd w:id="85"/>
    <w:bookmarkStart w:id="86"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1"/>
        </w:numPr>
      </w:pPr>
      <w:r>
        <w:rPr>
          <w:b/>
          <w:bCs/>
        </w:rPr>
        <w:t xml:space="preserve">Organizational Transformation Studies</w:t>
      </w:r>
      <w:r>
        <w:t xml:space="preserve">: Research on how conversational AI platforms reshape healthcare organizational capabilities</w:t>
      </w:r>
    </w:p>
    <w:p>
      <w:pPr>
        <w:pStyle w:val="Compact"/>
        <w:numPr>
          <w:ilvl w:val="0"/>
          <w:numId w:val="1021"/>
        </w:numPr>
      </w:pPr>
      <w:r>
        <w:rPr>
          <w:b/>
          <w:bCs/>
        </w:rPr>
        <w:t xml:space="preserve">Clinical Outcome Impact Assessment</w:t>
      </w:r>
      <w:r>
        <w:t xml:space="preserve">: Studies linking improved analytics access to patient care outcomes</w:t>
      </w:r>
    </w:p>
    <w:p>
      <w:pPr>
        <w:pStyle w:val="Compact"/>
        <w:numPr>
          <w:ilvl w:val="0"/>
          <w:numId w:val="1021"/>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6"/>
    <w:bookmarkEnd w:id="87"/>
    <w:bookmarkStart w:id="91"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8"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122</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122</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123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124</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8"/>
    <w:bookmarkStart w:id="89"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2"/>
        </w:numPr>
      </w:pPr>
      <w:r>
        <w:rPr>
          <w:b/>
          <w:bCs/>
        </w:rPr>
        <w:t xml:space="preserve">Code-Based Semantic Layers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w:t>
      </w:r>
    </w:p>
    <w:p>
      <w:pPr>
        <w:numPr>
          <w:ilvl w:val="0"/>
          <w:numId w:val="1022"/>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127</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128</w:t>
        </w:r>
      </w:hyperlink>
      <w:r>
        <w:t xml:space="preserve">)</w:t>
      </w:r>
      <w:r>
        <w:t xml:space="preserve">, integrating knowledge preservation directly into the analytical workflow.</w:t>
      </w:r>
    </w:p>
    <w:p>
      <w:pPr>
        <w:numPr>
          <w:ilvl w:val="0"/>
          <w:numId w:val="1022"/>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129</w:t>
        </w:r>
      </w:hyperlink>
      <w:r>
        <w:t xml:space="preserve">)</w:t>
      </w:r>
      <w:r>
        <w:t xml:space="preserve">. Conversational interfaces offer a middle path: providing the flexibility of natural language exploration within the governance perimeter of the validated query cycle</w:t>
      </w:r>
      <w:r>
        <w:t xml:space="preserve"> </w:t>
      </w:r>
      <w:r>
        <w:t xml:space="preserve">(</w:t>
      </w:r>
      <w:hyperlink w:anchor="ref-oliveira2023">
        <w:r>
          <w:rPr>
            <w:rStyle w:val="Hyperlink"/>
          </w:rPr>
          <w:t xml:space="preserve">130</w:t>
        </w:r>
      </w:hyperlink>
      <w:r>
        <w:t xml:space="preserve">)</w:t>
      </w:r>
      <w:r>
        <w:t xml:space="preserve">.</w:t>
      </w:r>
    </w:p>
    <w:bookmarkEnd w:id="89"/>
    <w:bookmarkStart w:id="90"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90"/>
    <w:bookmarkEnd w:id="91"/>
    <w:bookmarkStart w:id="95"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2f23efe7d260cae22651f913590ba1e30f02493"/>
    <w:p>
      <w:pPr>
        <w:pStyle w:val="Heading3"/>
      </w:pPr>
      <w:r>
        <w:rPr>
          <w:rStyle w:val="SectionNumber"/>
        </w:rPr>
        <w:t xml:space="preserve">5.5.1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3"/>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3"/>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3"/>
        </w:numPr>
      </w:pPr>
      <w:r>
        <w:rPr>
          <w:b/>
          <w:bCs/>
        </w:rPr>
        <w:t xml:space="preserve">Technical Barrier Inventory</w:t>
      </w:r>
      <w:r>
        <w:t xml:space="preserve">: What technical skills are currently required for data access? Which clinical questions go unanswered due to technical barriers?</w:t>
      </w:r>
    </w:p>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Analytics Maturity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5-7: Predictive analytics, AI integration</w:t>
            </w:r>
          </w:p>
        </w:tc>
        <w:tc>
          <w:tcPr/>
          <w:p>
            <w:pPr>
              <w:pStyle w:val="Compact"/>
              <w:jc w:val="left"/>
            </w:pPr>
            <w:r>
              <w:t xml:space="preserve">Stages 3-4: Integrated warehouse, standardized definitions</w:t>
            </w:r>
          </w:p>
        </w:tc>
        <w:tc>
          <w:tcPr/>
          <w:p>
            <w:pPr>
              <w:pStyle w:val="Compact"/>
              <w:jc w:val="left"/>
            </w:pPr>
            <w:r>
              <w:t xml:space="preserve">Stages 0-2: Fragmented data, limited reporting</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57</w:t>
              </w:r>
            </w:hyperlink>
            <w:r>
              <w:t xml:space="preserve">)</w:t>
            </w:r>
          </w:p>
        </w:tc>
      </w:tr>
      <w:tr>
        <w:tc>
          <w:tcPr/>
          <w:p>
            <w:pPr>
              <w:pStyle w:val="Compact"/>
              <w:jc w:val="left"/>
            </w:pPr>
            <w:r>
              <w:t xml:space="preserve">Self-service analytics</w:t>
            </w:r>
          </w:p>
        </w:tc>
        <w:tc>
          <w:tcPr/>
          <w:p>
            <w:pPr>
              <w:pStyle w:val="Compact"/>
              <w:jc w:val="left"/>
            </w:pPr>
            <w:r>
              <w:t xml:space="preserve">Widespread; clinical staff access data directly</w:t>
            </w:r>
          </w:p>
        </w:tc>
        <w:tc>
          <w:tcPr/>
          <w:p>
            <w:pPr>
              <w:pStyle w:val="Compact"/>
              <w:jc w:val="left"/>
            </w:pPr>
            <w:r>
              <w:t xml:space="preserve">Partial; BI tools available but underutilized</w:t>
            </w:r>
          </w:p>
        </w:tc>
        <w:tc>
          <w:tcPr/>
          <w:p>
            <w:pPr>
              <w:pStyle w:val="Compact"/>
              <w:jc w:val="left"/>
            </w:pPr>
            <w:r>
              <w:t xml:space="preserve">None; all analytics require IT intervention</w:t>
            </w:r>
          </w:p>
        </w:tc>
        <w:tc>
          <w:tcPr/>
          <w:p>
            <w:pPr>
              <w:pStyle w:val="Compact"/>
              <w:jc w:val="left"/>
            </w:pPr>
            <w:r>
              <w:t xml:space="preserve">(</w:t>
            </w:r>
            <w:hyperlink w:anchor="ref-wang2018">
              <w:r>
                <w:rPr>
                  <w:rStyle w:val="Hyperlink"/>
                </w:rPr>
                <w:t xml:space="preserve">47</w:t>
              </w:r>
            </w:hyperlink>
            <w:r>
              <w:t xml:space="preserve">,</w:t>
            </w:r>
            <w:hyperlink w:anchor="ref-berkshire2024">
              <w:r>
                <w:rPr>
                  <w:rStyle w:val="Hyperlink"/>
                </w:rPr>
                <w:t xml:space="preserve">102</w:t>
              </w:r>
            </w:hyperlink>
            <w:r>
              <w:t xml:space="preserve">)</w:t>
            </w:r>
          </w:p>
        </w:tc>
      </w:tr>
      <w:tr>
        <w:tc>
          <w:tcPr/>
          <w:p>
            <w:pPr>
              <w:pStyle w:val="Compact"/>
              <w:jc w:val="left"/>
            </w:pPr>
            <w:r>
              <w:t xml:space="preserve">AI/NL interface availability</w:t>
            </w:r>
          </w:p>
        </w:tc>
        <w:tc>
          <w:tcPr/>
          <w:p>
            <w:pPr>
              <w:pStyle w:val="Compact"/>
              <w:jc w:val="left"/>
            </w:pPr>
            <w:r>
              <w:t xml:space="preserve">Natural language query capability deployed</w:t>
            </w:r>
          </w:p>
        </w:tc>
        <w:tc>
          <w:tcPr/>
          <w:p>
            <w:pPr>
              <w:pStyle w:val="Compact"/>
              <w:jc w:val="left"/>
            </w:pPr>
            <w:r>
              <w:t xml:space="preserve">Pilot programs or evaluation underway</w:t>
            </w:r>
          </w:p>
        </w:tc>
        <w:tc>
          <w:tcPr/>
          <w:p>
            <w:pPr>
              <w:pStyle w:val="Compact"/>
              <w:jc w:val="left"/>
            </w:pPr>
            <w:r>
              <w:t xml:space="preserve">No NL2SQL or conversational analytics</w:t>
            </w:r>
          </w:p>
        </w:tc>
        <w:tc>
          <w:tcPr/>
          <w:p>
            <w:pPr>
              <w:pStyle w:val="Compact"/>
              <w:jc w:val="left"/>
            </w:pPr>
            <w:r>
              <w:t xml:space="preserve">(</w:t>
            </w:r>
            <w:hyperlink w:anchor="ref-ziletti2024">
              <w:r>
                <w:rPr>
                  <w:rStyle w:val="Hyperlink"/>
                </w:rPr>
                <w:t xml:space="preserve">24</w:t>
              </w:r>
            </w:hyperlink>
            <w:r>
              <w:t xml:space="preserve">,</w:t>
            </w:r>
            <w:hyperlink w:anchor="ref-wang2020">
              <w:r>
                <w:rPr>
                  <w:rStyle w:val="Hyperlink"/>
                </w:rPr>
                <w:t xml:space="preserve">31</w:t>
              </w:r>
            </w:hyperlink>
            <w:r>
              <w:t xml:space="preserve">)</w:t>
            </w:r>
          </w:p>
        </w:tc>
      </w:tr>
    </w:tbl>
    <w:p>
      <w:pPr>
        <w:pStyle w:val="BodyText"/>
      </w:pPr>
      <w:r>
        <w:rPr>
          <w:b/>
          <w:bCs/>
        </w:rPr>
        <w:t xml:space="preserve">Workforce Dynamics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&lt;15%</w:t>
            </w:r>
          </w:p>
        </w:tc>
        <w:tc>
          <w:tcPr/>
          <w:p>
            <w:pPr>
              <w:pStyle w:val="Compact"/>
              <w:jc w:val="left"/>
            </w:pPr>
            <w:r>
              <w:t xml:space="preserve">15-30%</w:t>
            </w:r>
          </w:p>
        </w:tc>
        <w:tc>
          <w:tcPr/>
          <w:p>
            <w:pPr>
              <w:pStyle w:val="Compact"/>
              <w:jc w:val="left"/>
            </w:pPr>
            <w:r>
              <w:t xml:space="preserve">&gt;30%</w:t>
            </w:r>
          </w:p>
        </w:tc>
        <w:tc>
          <w:tcPr/>
          <w:p>
            <w:pPr>
              <w:pStyle w:val="Compact"/>
              <w:jc w:val="left"/>
            </w:pPr>
            <w:r>
              <w:t xml:space="preserve">(</w:t>
            </w:r>
            <w:hyperlink w:anchor="ref-nsi2025">
              <w:r>
                <w:rPr>
                  <w:rStyle w:val="Hyperlink"/>
                </w:rPr>
                <w:t xml:space="preserve">6</w:t>
              </w:r>
            </w:hyperlink>
            <w:r>
              <w:t xml:space="preserve">)</w:t>
            </w:r>
          </w:p>
        </w:tc>
      </w:tr>
      <w:tr>
        <w:tc>
          <w:tcPr/>
          <w:p>
            <w:pPr>
              <w:pStyle w:val="Compact"/>
              <w:jc w:val="left"/>
            </w:pPr>
            <w:r>
              <w:t xml:space="preserve">Leadership Stability (CIO)</w:t>
            </w:r>
          </w:p>
        </w:tc>
        <w:tc>
          <w:tcPr/>
          <w:p>
            <w:pPr>
              <w:pStyle w:val="Compact"/>
              <w:jc w:val="left"/>
            </w:pPr>
            <w:r>
              <w:t xml:space="preserve">Tenure &gt; 5 years</w:t>
            </w:r>
          </w:p>
        </w:tc>
        <w:tc>
          <w:tcPr/>
          <w:p>
            <w:pPr>
              <w:pStyle w:val="Compact"/>
              <w:jc w:val="left"/>
            </w:pPr>
            <w:r>
              <w:t xml:space="preserve">Tenure 3-5 years</w:t>
            </w:r>
          </w:p>
        </w:tc>
        <w:tc>
          <w:tcPr/>
          <w:p>
            <w:pPr>
              <w:pStyle w:val="Compact"/>
              <w:jc w:val="left"/>
            </w:pPr>
            <w:r>
              <w:t xml:space="preserve">Tenure &lt; 3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Distributed expertise; documented processes</w:t>
            </w:r>
          </w:p>
        </w:tc>
        <w:tc>
          <w:tcPr/>
          <w:p>
            <w:pPr>
              <w:pStyle w:val="Compact"/>
              <w:jc w:val="left"/>
            </w:pPr>
            <w:r>
              <w:t xml:space="preserve">Partial documentation; some cross-training</w:t>
            </w:r>
          </w:p>
        </w:tc>
        <w:tc>
          <w:tcPr/>
          <w:p>
            <w:pPr>
              <w:pStyle w:val="Compact"/>
              <w:jc w:val="left"/>
            </w:pPr>
            <w:r>
              <w:t xml:space="preserve">Critical expertise held by ≤3 individuals</w:t>
            </w:r>
          </w:p>
        </w:tc>
        <w:tc>
          <w:tcPr/>
          <w:p>
            <w:pPr>
              <w:pStyle w:val="Compact"/>
              <w:jc w:val="left"/>
            </w:pP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p>
        </w:tc>
      </w:tr>
      <w:tr>
        <w:tc>
          <w:tcPr/>
          <w:p>
            <w:pPr>
              <w:pStyle w:val="Compact"/>
              <w:jc w:val="left"/>
            </w:pPr>
            <w:r>
              <w:t xml:space="preserve">Time-to-productivity</w:t>
            </w:r>
          </w:p>
        </w:tc>
        <w:tc>
          <w:tcPr/>
          <w:p>
            <w:pPr>
              <w:pStyle w:val="Compact"/>
              <w:jc w:val="left"/>
            </w:pPr>
            <w:r>
              <w:t xml:space="preserve">&lt;6 months with structured onboarding</w:t>
            </w:r>
          </w:p>
        </w:tc>
        <w:tc>
          <w:tcPr/>
          <w:p>
            <w:pPr>
              <w:pStyle w:val="Compact"/>
              <w:jc w:val="left"/>
            </w:pPr>
            <w:r>
              <w:t xml:space="preserve">6-18 months</w:t>
            </w:r>
          </w:p>
        </w:tc>
        <w:tc>
          <w:tcPr/>
          <w:p>
            <w:pPr>
              <w:pStyle w:val="Compact"/>
              <w:jc w:val="left"/>
            </w:pPr>
            <w:r>
              <w:t xml:space="preserve">&gt;18 months (specialized health informatics roles)</w:t>
            </w:r>
          </w:p>
        </w:tc>
        <w:tc>
          <w:tcPr/>
          <w:p>
            <w:pPr>
              <w:pStyle w:val="Compact"/>
              <w:jc w:val="left"/>
            </w:pPr>
            <w:r>
              <w:t xml:space="preserve">(</w:t>
            </w:r>
            <w:hyperlink w:anchor="ref-ledikwe2013">
              <w:r>
                <w:rPr>
                  <w:rStyle w:val="Hyperlink"/>
                </w:rPr>
                <w:t xml:space="preserve">82</w:t>
              </w:r>
            </w:hyperlink>
            <w:r>
              <w:t xml:space="preserve">–</w:t>
            </w:r>
            <w:hyperlink w:anchor="ref-musa2023">
              <w:r>
                <w:rPr>
                  <w:rStyle w:val="Hyperlink"/>
                </w:rPr>
                <w:t xml:space="preserve">84</w:t>
              </w:r>
            </w:hyperlink>
            <w:r>
              <w:t xml:space="preserve">)</w:t>
            </w:r>
          </w:p>
        </w:tc>
      </w:tr>
      <w:tr>
        <w:tc>
          <w:tcPr/>
          <w:p>
            <w:pPr>
              <w:pStyle w:val="Compact"/>
              <w:jc w:val="left"/>
            </w:pPr>
            <w:r>
              <w:t xml:space="preserve">Tacit knowledge capture</w:t>
            </w:r>
          </w:p>
        </w:tc>
        <w:tc>
          <w:tcPr/>
          <w:p>
            <w:pPr>
              <w:pStyle w:val="Compact"/>
              <w:jc w:val="left"/>
            </w:pPr>
            <w:r>
              <w:t xml:space="preserve">Expertise embedded in systems/AI</w:t>
            </w:r>
          </w:p>
        </w:tc>
        <w:tc>
          <w:tcPr/>
          <w:p>
            <w:pPr>
              <w:pStyle w:val="Compact"/>
              <w:jc w:val="left"/>
            </w:pPr>
            <w:r>
              <w:t xml:space="preserve">Partial documentation exists</w:t>
            </w:r>
          </w:p>
        </w:tc>
        <w:tc>
          <w:tcPr/>
          <w:p>
            <w:pPr>
              <w:pStyle w:val="Compact"/>
              <w:jc w:val="left"/>
            </w:pPr>
            <w:r>
              <w:t xml:space="preserve">Person-dependent; undocumented tribal knowledge</w:t>
            </w:r>
          </w:p>
        </w:tc>
        <w:tc>
          <w:tcPr/>
          <w:p>
            <w:pPr>
              <w:pStyle w:val="Compact"/>
              <w:jc w:val="left"/>
            </w:pPr>
            <w:r>
              <w:t xml:space="preserve">(</w:t>
            </w:r>
            <w:hyperlink w:anchor="ref-benbya2004">
              <w:r>
                <w:rPr>
                  <w:rStyle w:val="Hyperlink"/>
                </w:rPr>
                <w:t xml:space="preserve">19</w:t>
              </w:r>
            </w:hyperlink>
            <w:r>
              <w:t xml:space="preserve">)</w:t>
            </w:r>
          </w:p>
        </w:tc>
      </w:tr>
    </w:tbl>
    <w:p>
      <w:pPr>
        <w:pStyle w:val="BodyText"/>
      </w:pPr>
      <w:r>
        <w:rPr>
          <w:b/>
          <w:bCs/>
        </w:rPr>
        <w:t xml:space="preserve">Technical Barriers Indicators:</w:t>
      </w:r>
    </w:p>
    <w:tbl>
      <w:tblPr>
        <w:tblStyle w:val="Table"/>
        <w:tblW w:type="pct" w:w="5000"/>
        <w:jc w:val="left"/>
        <w:tblLayout w:type="fixed"/>
        <w:tblLook w:firstRow="1" w:lastRow="0" w:firstColumn="0" w:lastColumn="0" w:noHBand="0" w:noVBand="0" w:val="0020"/>
      </w:tblPr>
      <w:tblGrid>
        <w:gridCol w:w="1428"/>
        <w:gridCol w:w="1558"/>
        <w:gridCol w:w="1947"/>
        <w:gridCol w:w="1687"/>
        <w:gridCol w:w="1298"/>
      </w:tblGrid>
      <w:tr>
        <w:trPr>
          <w:tblHeader w:val="on"/>
        </w:trPr>
        <w:tc>
          <w:tcPr/>
          <w:p>
            <w:pPr>
              <w:pStyle w:val="Compact"/>
              <w:jc w:val="left"/>
            </w:pPr>
            <w:r>
              <w:t xml:space="preserve">Indicator</w:t>
            </w:r>
          </w:p>
        </w:tc>
        <w:tc>
          <w:tcPr/>
          <w:p>
            <w:pPr>
              <w:pStyle w:val="Compact"/>
              <w:jc w:val="left"/>
            </w:pPr>
            <w:r>
              <w:t xml:space="preserve">Lower Risk</w:t>
            </w:r>
          </w:p>
        </w:tc>
        <w:tc>
          <w:tcPr/>
          <w:p>
            <w:pPr>
              <w:pStyle w:val="Compact"/>
              <w:jc w:val="left"/>
            </w:pPr>
            <w:r>
              <w:t xml:space="preserve">Moderate Risk</w:t>
            </w:r>
          </w:p>
        </w:tc>
        <w:tc>
          <w:tcPr/>
          <w:p>
            <w:pPr>
              <w:pStyle w:val="Compact"/>
              <w:jc w:val="left"/>
            </w:pPr>
            <w:r>
              <w:t xml:space="preserve">Higher Risk</w:t>
            </w:r>
          </w:p>
        </w:tc>
        <w:tc>
          <w:tcPr/>
          <w:p>
            <w:pPr>
              <w:pStyle w:val="Compact"/>
              <w:jc w:val="left"/>
            </w:pPr>
            <w:r>
              <w:t xml:space="preserve">Evidence</w:t>
            </w:r>
          </w:p>
        </w:tc>
      </w:tr>
      <w:tr>
        <w:tc>
          <w:tcPr/>
          <w:p>
            <w:pPr>
              <w:pStyle w:val="Compact"/>
              <w:jc w:val="left"/>
            </w:pPr>
            <w:r>
              <w:t xml:space="preserve">Data access requirements</w:t>
            </w:r>
          </w:p>
        </w:tc>
        <w:tc>
          <w:tcPr/>
          <w:p>
            <w:pPr>
              <w:pStyle w:val="Compact"/>
              <w:jc w:val="left"/>
            </w:pPr>
            <w:r>
              <w:t xml:space="preserve">Natural language or visual query interfaces</w:t>
            </w:r>
          </w:p>
        </w:tc>
        <w:tc>
          <w:tcPr/>
          <w:p>
            <w:pPr>
              <w:pStyle w:val="Compact"/>
              <w:jc w:val="left"/>
            </w:pPr>
            <w:r>
              <w:t xml:space="preserve">IT queue for complex queries; basic self-service</w:t>
            </w:r>
          </w:p>
        </w:tc>
        <w:tc>
          <w:tcPr/>
          <w:p>
            <w:pPr>
              <w:pStyle w:val="Compact"/>
              <w:jc w:val="left"/>
            </w:pPr>
            <w:r>
              <w:t xml:space="preserve">SQL/technical expertise required for all queries</w:t>
            </w:r>
          </w:p>
        </w:tc>
        <w:tc>
          <w:tcPr/>
          <w:p>
            <w:pPr>
              <w:pStyle w:val="Compact"/>
              <w:jc w:val="left"/>
            </w:pPr>
            <w:r>
              <w:t xml:space="preserve">(</w:t>
            </w:r>
            <w:hyperlink w:anchor="ref-wang2018">
              <w:r>
                <w:rPr>
                  <w:rStyle w:val="Hyperlink"/>
                </w:rPr>
                <w:t xml:space="preserve">47</w:t>
              </w:r>
            </w:hyperlink>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r>
        <w:tc>
          <w:tcPr/>
          <w:p>
            <w:pPr>
              <w:pStyle w:val="Compact"/>
              <w:jc w:val="left"/>
            </w:pPr>
            <w:r>
              <w:t xml:space="preserve">Interoperability status</w:t>
            </w:r>
          </w:p>
        </w:tc>
        <w:tc>
          <w:tcPr/>
          <w:p>
            <w:pPr>
              <w:pStyle w:val="Compact"/>
              <w:jc w:val="left"/>
            </w:pPr>
            <w:r>
              <w:t xml:space="preserve">Unified data platform; real-time integration</w:t>
            </w:r>
          </w:p>
        </w:tc>
        <w:tc>
          <w:tcPr/>
          <w:p>
            <w:pPr>
              <w:pStyle w:val="Compact"/>
              <w:jc w:val="left"/>
            </w:pPr>
            <w:r>
              <w:t xml:space="preserve">Partial integration; some automated feeds</w:t>
            </w:r>
          </w:p>
        </w:tc>
        <w:tc>
          <w:tcPr/>
          <w:p>
            <w:pPr>
              <w:pStyle w:val="Compact"/>
              <w:jc w:val="left"/>
            </w:pPr>
            <w:r>
              <w:t xml:space="preserve">Fragmented systems; manual reconciliation required</w:t>
            </w:r>
          </w:p>
        </w:tc>
        <w:tc>
          <w:tcPr/>
          <w:p>
            <w:pPr>
              <w:pStyle w:val="Compact"/>
              <w:jc w:val="left"/>
            </w:pPr>
            <w:r>
              <w:t xml:space="preserve">(</w:t>
            </w:r>
            <w:hyperlink w:anchor="ref-gal2019">
              <w:r>
                <w:rPr>
                  <w:rStyle w:val="Hyperlink"/>
                </w:rPr>
                <w:t xml:space="preserve">7</w:t>
              </w:r>
            </w:hyperlink>
            <w:r>
              <w:t xml:space="preserve">,</w:t>
            </w:r>
            <w:hyperlink w:anchor="ref-bogaert2021">
              <w:r>
                <w:rPr>
                  <w:rStyle w:val="Hyperlink"/>
                </w:rPr>
                <w:t xml:space="preserve">115</w:t>
              </w:r>
            </w:hyperlink>
            <w:r>
              <w:t xml:space="preserve">)</w:t>
            </w:r>
          </w:p>
        </w:tc>
      </w:tr>
      <w:tr>
        <w:tc>
          <w:tcPr/>
          <w:p>
            <w:pPr>
              <w:pStyle w:val="Compact"/>
              <w:jc w:val="left"/>
            </w:pPr>
            <w:r>
              <w:t xml:space="preserve">Skills gap severity</w:t>
            </w:r>
          </w:p>
        </w:tc>
        <w:tc>
          <w:tcPr/>
          <w:p>
            <w:pPr>
              <w:pStyle w:val="Compact"/>
              <w:jc w:val="left"/>
            </w:pPr>
            <w:r>
              <w:t xml:space="preserve">Sufficient analysts across departments</w:t>
            </w:r>
          </w:p>
        </w:tc>
        <w:tc>
          <w:tcPr/>
          <w:p>
            <w:pPr>
              <w:pStyle w:val="Compact"/>
              <w:jc w:val="left"/>
            </w:pPr>
            <w:r>
              <w:t xml:space="preserve">Acknowledged deficit with mitigation plans</w:t>
            </w:r>
          </w:p>
        </w:tc>
        <w:tc>
          <w:tcPr/>
          <w:p>
            <w:pPr>
              <w:pStyle w:val="Compact"/>
              <w:jc w:val="left"/>
            </w:pPr>
            <w:r>
              <w:t xml:space="preserve">Critical shortage preventing data utilization</w:t>
            </w:r>
          </w:p>
        </w:tc>
        <w:tc>
          <w:tcPr/>
          <w:p>
            <w:pPr>
              <w:pStyle w:val="Compact"/>
              <w:jc w:val="left"/>
            </w:pPr>
            <w:r>
              <w:t xml:space="preserve">(</w:t>
            </w:r>
            <w:hyperlink w:anchor="ref-bardsley2016">
              <w:r>
                <w:rPr>
                  <w:rStyle w:val="Hyperlink"/>
                </w:rPr>
                <w:t xml:space="preserve">58</w:t>
              </w:r>
            </w:hyperlink>
            <w:r>
              <w:t xml:space="preserve">,</w:t>
            </w:r>
            <w:hyperlink w:anchor="ref-pesqueira2020">
              <w:r>
                <w:rPr>
                  <w:rStyle w:val="Hyperlink"/>
                </w:rPr>
                <w:t xml:space="preserve">59</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Lower Risk</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r>
        <w:tc>
          <w:tcPr/>
          <w:p>
            <w:pPr>
              <w:pStyle w:val="Compact"/>
              <w:jc w:val="left"/>
            </w:pPr>
            <w:r>
              <w:t xml:space="preserve">1 pillar Higher Risk</w:t>
            </w:r>
          </w:p>
        </w:tc>
        <w:tc>
          <w:tcPr/>
          <w:p>
            <w:pPr>
              <w:pStyle w:val="Compact"/>
              <w:jc w:val="left"/>
            </w:pPr>
            <w:r>
              <w:t xml:space="preserve">Isolated challenge</w:t>
            </w:r>
          </w:p>
        </w:tc>
        <w:tc>
          <w:tcPr/>
          <w:p>
            <w:pPr>
              <w:pStyle w:val="Compact"/>
              <w:jc w:val="left"/>
            </w:pPr>
            <w:r>
              <w:t xml:space="preserve">Single-domain intervention may address root cause; watch for spillover effects</w:t>
            </w:r>
          </w:p>
        </w:tc>
      </w:tr>
      <w:tr>
        <w:tc>
          <w:tcPr/>
          <w:p>
            <w:pPr>
              <w:pStyle w:val="Compact"/>
              <w:jc w:val="left"/>
            </w:pPr>
            <w:r>
              <w:t xml:space="preserve">2 pillars Higher Risk</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3 pillars Higher Risk</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24</w:t>
        </w:r>
      </w:hyperlink>
      <w:r>
        <w:t xml:space="preserve">)</w:t>
      </w:r>
    </w:p>
    <w:bookmarkEnd w:id="94"/>
    <w:bookmarkEnd w:id="95"/>
    <w:bookmarkEnd w:id="96"/>
    <w:bookmarkStart w:id="102"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7"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13</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97"/>
    <w:bookmarkStart w:id="98"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healthcare analytics maturity, workforce management, and natural language processing research, revealing how these challenges interconnect and compound each other: low maturity accelerates turnover, turnover degrades maturity, and technical barriers prevent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19</w:t>
        </w:r>
      </w:hyperlink>
      <w:r>
        <w:t xml:space="preserve">,</w:t>
      </w:r>
      <w:hyperlink w:anchor="ref-richesson2007">
        <w:r>
          <w:rPr>
            <w:rStyle w:val="Hyperlink"/>
          </w:rPr>
          <w:t xml:space="preserve">20</w:t>
        </w:r>
      </w:hyperlink>
      <w:r>
        <w:t xml:space="preserve">)</w:t>
      </w:r>
      <w:r>
        <w:t xml:space="preserve">, we describe the validated query cycle as one example of how the framework might inform technology design for institutional memory preservation.</w:t>
      </w:r>
    </w:p>
    <w:bookmarkEnd w:id="98"/>
    <w:bookmarkStart w:id="99"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31</w:t>
        </w:r>
      </w:hyperlink>
      <w:r>
        <w:t xml:space="preserve">,</w:t>
      </w:r>
      <w:hyperlink w:anchor="ref-lee2023">
        <w:r>
          <w:rPr>
            <w:rStyle w:val="Hyperlink"/>
          </w:rPr>
          <w:t xml:space="preserve">32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24</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13</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77</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102</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99</w:t>
        </w:r>
      </w:hyperlink>
      <w:r>
        <w:t xml:space="preserve">,</w:t>
      </w:r>
      <w:hyperlink w:anchor="ref-jiao2023">
        <w:r>
          <w:rPr>
            <w:rStyle w:val="Hyperlink"/>
          </w:rPr>
          <w:t xml:space="preserve">100</w:t>
        </w:r>
      </w:hyperlink>
      <w:r>
        <w:t xml:space="preserve">)</w:t>
      </w:r>
      <w:r>
        <w:t xml:space="preserve">.</w:t>
      </w:r>
    </w:p>
    <w:bookmarkEnd w:id="99"/>
    <w:bookmarkStart w:id="100"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24</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0"/>
    <w:bookmarkStart w:id="101"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1"/>
    <w:bookmarkEnd w:id="102"/>
    <w:bookmarkStart w:id="103"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Claude Code (Claude Opus 4.5, Anthropic) assisted with manuscript editing and refinement.</w:t>
      </w:r>
    </w:p>
    <w:bookmarkEnd w:id="103"/>
    <w:bookmarkStart w:id="104"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4"/>
    <w:bookmarkStart w:id="105"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5"/>
    <w:bookmarkStart w:id="106"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6"/>
    <w:bookmarkStart w:id="107"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7"/>
    <w:bookmarkStart w:id="108"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8"/>
    <w:bookmarkStart w:id="109"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09"/>
    <w:bookmarkStart w:id="362" w:name="appendices"/>
    <w:p>
      <w:pPr>
        <w:pStyle w:val="Heading1"/>
      </w:pPr>
      <w:r>
        <w:rPr>
          <w:rStyle w:val="SectionNumber"/>
        </w:rPr>
        <w:t xml:space="preserve">14</w:t>
      </w:r>
      <w:r>
        <w:tab/>
      </w:r>
      <w:r>
        <w:t xml:space="preserve">Appendices</w:t>
      </w:r>
    </w:p>
    <w:bookmarkStart w:id="110"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10"/>
    <w:bookmarkStart w:id="111"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11"/>
    <w:bookmarkStart w:id="361" w:name="Xbfd30549e6247e2f3e5132a039875af0e2849bb"/>
    <w:p>
      <w:pPr>
        <w:pStyle w:val="Heading2"/>
      </w:pPr>
      <w:r>
        <w:rPr>
          <w:rStyle w:val="SectionNumber"/>
        </w:rPr>
        <w:t xml:space="preserve">14.3</w:t>
      </w:r>
      <w:r>
        <w:tab/>
      </w:r>
      <w:r>
        <w:t xml:space="preserve">Appendix C: Healthcare NL2SQL Query Examples</w:t>
      </w:r>
    </w:p>
    <w:bookmarkStart w:id="112"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2"/>
    <w:bookmarkStart w:id="113" w:name="X4f3204a1a55f74fb94aff14df64c2c9789526a0"/>
    <w:p>
      <w:pPr>
        <w:pStyle w:val="Heading3"/>
      </w:pPr>
      <w:r>
        <w:rPr>
          <w:rStyle w:val="SectionNumber"/>
        </w:rPr>
        <w:t xml:space="preserve">14.3.2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113"/>
    <w:bookmarkStart w:id="360"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Start w:id="359" w:name="refs"/>
    <w:bookmarkStart w:id="115"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4">
        <w:r>
          <w:rPr>
            <w:rStyle w:val="Hyperlink"/>
          </w:rPr>
          <w:t xml:space="preserve">https://www.ahima.org/news-publications/press-room-press-releases/2023-press-releases/health-information-workforce-shortages-persist-as-ai-shows-promise-ahima-survey-reveals/</w:t>
        </w:r>
      </w:hyperlink>
    </w:p>
    <w:bookmarkEnd w:id="115"/>
    <w:bookmarkStart w:id="117"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6">
        <w:r>
          <w:rPr>
            <w:rStyle w:val="Hyperlink"/>
          </w:rPr>
          <w:t xml:space="preserve">https://www.himss.org/maturity-models/amam/</w:t>
        </w:r>
      </w:hyperlink>
    </w:p>
    <w:bookmarkEnd w:id="117"/>
    <w:bookmarkStart w:id="119"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Healthcare IT News [Internet]. 2024; Available from:</w:t>
      </w:r>
      <w:r>
        <w:t xml:space="preserve"> </w:t>
      </w:r>
      <w:hyperlink r:id="rId118">
        <w:r>
          <w:rPr>
            <w:rStyle w:val="Hyperlink"/>
          </w:rPr>
          <w:t xml:space="preserve">https://www.healthcareitnews.com/news/asia/himss-launches-modernised-analytics-maturity-assessment-model</w:t>
        </w:r>
      </w:hyperlink>
    </w:p>
    <w:bookmarkEnd w:id="119"/>
    <w:bookmarkStart w:id="121"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0">
        <w:r>
          <w:rPr>
            <w:rStyle w:val="Hyperlink"/>
          </w:rPr>
          <w:t xml:space="preserve">https://api.wittkieffer.com/wp-content/uploads/2012/10/cio-insights-the-state-of-healthcare-it-leadership-wittkieffer-october-2024.pdf</w:t>
        </w:r>
      </w:hyperlink>
    </w:p>
    <w:bookmarkEnd w:id="121"/>
    <w:bookmarkStart w:id="123"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2">
        <w:r>
          <w:rPr>
            <w:rStyle w:val="Hyperlink"/>
          </w:rPr>
          <w:t xml:space="preserve">https://www.himss.org/resources/the-future-of-workforce/</w:t>
        </w:r>
      </w:hyperlink>
    </w:p>
    <w:bookmarkEnd w:id="123"/>
    <w:bookmarkStart w:id="125" w:name="ref-nsi2025"/>
    <w:p>
      <w:pPr>
        <w:pStyle w:val="Bibliography"/>
      </w:pPr>
      <w:r>
        <w:t xml:space="preserve">6.</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24">
        <w:r>
          <w:rPr>
            <w:rStyle w:val="Hyperlink"/>
          </w:rPr>
          <w:t xml:space="preserve">https://www.nsinursingsolutions.com/documents/library/nsi_national_health_care_retention_report.pdf</w:t>
        </w:r>
      </w:hyperlink>
    </w:p>
    <w:bookmarkEnd w:id="125"/>
    <w:bookmarkStart w:id="127"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6">
        <w:r>
          <w:rPr>
            <w:rStyle w:val="Hyperlink"/>
          </w:rPr>
          <w:t xml:space="preserve">https://www.nyulawreview.org/issues/volume-94-number-4/data-standardization/</w:t>
        </w:r>
      </w:hyperlink>
    </w:p>
    <w:bookmarkEnd w:id="127"/>
    <w:bookmarkStart w:id="128"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8"/>
    <w:bookmarkStart w:id="130" w:name="ref-anthropic2025"/>
    <w:p>
      <w:pPr>
        <w:pStyle w:val="Bibliography"/>
      </w:pPr>
      <w:r>
        <w:t xml:space="preserve">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9">
        <w:r>
          <w:rPr>
            <w:rStyle w:val="Hyperlink"/>
          </w:rPr>
          <w:t xml:space="preserve">https://resources.anthropic.com/code-modernization-playbook</w:t>
        </w:r>
      </w:hyperlink>
    </w:p>
    <w:bookmarkEnd w:id="130"/>
    <w:bookmarkStart w:id="132" w:name="ref-hendrix1978"/>
    <w:p>
      <w:pPr>
        <w:pStyle w:val="Bibliography"/>
      </w:pPr>
      <w:r>
        <w:t xml:space="preserve">10.</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1">
        <w:r>
          <w:rPr>
            <w:rStyle w:val="Hyperlink"/>
          </w:rPr>
          <w:t xml:space="preserve">https://dl.acm.org/doi/abs/10.1145/320251.320253</w:t>
        </w:r>
      </w:hyperlink>
    </w:p>
    <w:bookmarkEnd w:id="132"/>
    <w:bookmarkStart w:id="134" w:name="ref-ogunwole2023"/>
    <w:p>
      <w:pPr>
        <w:pStyle w:val="Bibliography"/>
      </w:pPr>
      <w:r>
        <w:t xml:space="preserve">11.</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3">
        <w:r>
          <w:rPr>
            <w:rStyle w:val="Hyperlink"/>
          </w:rPr>
          <w:t xml:space="preserve">https://www.allmultidisciplinaryjournal.com/uploads/archives/20250306182550_MGE-2025-2-018.1.pdf</w:t>
        </w:r>
      </w:hyperlink>
    </w:p>
    <w:bookmarkEnd w:id="134"/>
    <w:bookmarkStart w:id="136" w:name="ref-arora2025"/>
    <w:p>
      <w:pPr>
        <w:pStyle w:val="Bibliography"/>
      </w:pPr>
      <w:r>
        <w:t xml:space="preserve">12.</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5">
        <w:r>
          <w:rPr>
            <w:rStyle w:val="Hyperlink"/>
          </w:rPr>
          <w:t xml:space="preserve">https://papers.ssrn.com/sol3/papers.cfm?abstract_id=5268176</w:t>
        </w:r>
      </w:hyperlink>
    </w:p>
    <w:bookmarkEnd w:id="136"/>
    <w:bookmarkStart w:id="138" w:name="ref-ang2004"/>
    <w:p>
      <w:pPr>
        <w:pStyle w:val="Bibliography"/>
      </w:pPr>
      <w:r>
        <w:t xml:space="preserve">13.</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37">
        <w:r>
          <w:rPr>
            <w:rStyle w:val="Hyperlink"/>
          </w:rPr>
          <w:t xml:space="preserve">https://dl.acm.org/doi/10.1145/1017114.1017118</w:t>
        </w:r>
      </w:hyperlink>
    </w:p>
    <w:bookmarkEnd w:id="138"/>
    <w:bookmarkStart w:id="140" w:name="ref-rajamani2025"/>
    <w:p>
      <w:pPr>
        <w:pStyle w:val="Bibliography"/>
      </w:pPr>
      <w:r>
        <w:t xml:space="preserve">14.</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39">
        <w:r>
          <w:rPr>
            <w:rStyle w:val="Hyperlink"/>
          </w:rPr>
          <w:t xml:space="preserve">https://academic.oup.com/jpubhealth</w:t>
        </w:r>
      </w:hyperlink>
    </w:p>
    <w:bookmarkEnd w:id="140"/>
    <w:bookmarkStart w:id="142" w:name="ref-shen2023"/>
    <w:p>
      <w:pPr>
        <w:pStyle w:val="Bibliography"/>
      </w:pPr>
      <w:r>
        <w:t xml:space="preserve">15.</w:t>
      </w:r>
      <w:r>
        <w:t xml:space="preserve"> </w:t>
      </w:r>
      <w:r>
        <w:t xml:space="preserve">	</w:t>
      </w:r>
      <w:r>
        <w:t xml:space="preserve">Shen M K., Gandhi AD.</w:t>
      </w:r>
      <w:r>
        <w:t xml:space="preserve"> </w:t>
      </w:r>
      <w:r>
        <w:t xml:space="preserve">Health care staff turnover and quality of care at nursing homes</w:t>
      </w:r>
      <w:r>
        <w:t xml:space="preserve">.</w:t>
      </w:r>
      <w:r>
        <w:t xml:space="preserve"> </w:t>
      </w:r>
      <w:r>
        <w:t xml:space="preserve">JAMA</w:t>
      </w:r>
      <w:r>
        <w:t xml:space="preserve"> </w:t>
      </w:r>
      <w:r>
        <w:t xml:space="preserve">Internal Medicine [Internet]. 2023;183(10):1088–95. Available from:</w:t>
      </w:r>
      <w:r>
        <w:t xml:space="preserve"> </w:t>
      </w:r>
      <w:hyperlink r:id="rId141">
        <w:r>
          <w:rPr>
            <w:rStyle w:val="Hyperlink"/>
          </w:rPr>
          <w:t xml:space="preserve">https://jamanetwork.com/journals/jamainternalmedicine/fullarticle/2809588</w:t>
        </w:r>
      </w:hyperlink>
    </w:p>
    <w:bookmarkEnd w:id="142"/>
    <w:bookmarkStart w:id="144"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3">
        <w:r>
          <w:rPr>
            <w:rStyle w:val="Hyperlink"/>
          </w:rPr>
          <w:t xml:space="preserve">https://www.ingentaconnect.com/content/hsp/mih/2024/00000008/00000004/art00006</w:t>
        </w:r>
      </w:hyperlink>
    </w:p>
    <w:bookmarkEnd w:id="144"/>
    <w:bookmarkStart w:id="146"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Business and Economics [Internet]. 2023; Available from:</w:t>
      </w:r>
      <w:r>
        <w:t xml:space="preserve"> </w:t>
      </w:r>
      <w:hyperlink r:id="rId145">
        <w:r>
          <w:rPr>
            <w:rStyle w:val="Hyperlink"/>
          </w:rPr>
          <w:t xml:space="preserve">https://publishing.emanresearch.org/index.php/bej/article/view/1136</w:t>
        </w:r>
      </w:hyperlink>
    </w:p>
    <w:bookmarkEnd w:id="146"/>
    <w:bookmarkStart w:id="148" w:name="ref-lin2012"/>
    <w:p>
      <w:pPr>
        <w:pStyle w:val="Bibliography"/>
      </w:pPr>
      <w:r>
        <w:t xml:space="preserve">18.</w:t>
      </w:r>
      <w:r>
        <w:t xml:space="preserve"> </w:t>
      </w:r>
      <w:r>
        <w:t xml:space="preserve">	</w:t>
      </w:r>
      <w:r>
        <w:t xml:space="preserve">Lin L C.</w:t>
      </w:r>
      <w:r>
        <w:t xml:space="preserve"> </w:t>
      </w:r>
      <w:r>
        <w:t xml:space="preserve">Barriers to physicians’ adoption of healthcare information technology: An empirical study on multiple hospitals</w:t>
      </w:r>
      <w:r>
        <w:t xml:space="preserve">. Journal of Medical Systems [Internet]. 2012; Available from:</w:t>
      </w:r>
      <w:r>
        <w:t xml:space="preserve"> </w:t>
      </w:r>
      <w:hyperlink r:id="rId147">
        <w:r>
          <w:rPr>
            <w:rStyle w:val="Hyperlink"/>
          </w:rPr>
          <w:t xml:space="preserve">https://link.springer.com/article/10.1007/s10916-011-9656-7</w:t>
        </w:r>
      </w:hyperlink>
    </w:p>
    <w:bookmarkEnd w:id="148"/>
    <w:bookmarkStart w:id="150" w:name="ref-benbya2004"/>
    <w:p>
      <w:pPr>
        <w:pStyle w:val="Bibliography"/>
      </w:pPr>
      <w:r>
        <w:t xml:space="preserve">19.</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49">
        <w:r>
          <w:rPr>
            <w:rStyle w:val="Hyperlink"/>
          </w:rPr>
          <w:t xml:space="preserve">https://doi.org/10.1016/j.ijinfomgt.2003.12.012</w:t>
        </w:r>
      </w:hyperlink>
    </w:p>
    <w:bookmarkEnd w:id="150"/>
    <w:bookmarkStart w:id="152" w:name="ref-richesson2007"/>
    <w:p>
      <w:pPr>
        <w:pStyle w:val="Bibliography"/>
      </w:pPr>
      <w:r>
        <w:t xml:space="preserve">20.</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151">
        <w:r>
          <w:rPr>
            <w:rStyle w:val="Hyperlink"/>
          </w:rPr>
          <w:t xml:space="preserve">https://academic.oup.com/jamia/article/14/6/687/750453</w:t>
        </w:r>
      </w:hyperlink>
    </w:p>
    <w:bookmarkEnd w:id="152"/>
    <w:bookmarkStart w:id="154" w:name="ref-bravorocca2023"/>
    <w:p>
      <w:pPr>
        <w:pStyle w:val="Bibliography"/>
      </w:pPr>
      <w:r>
        <w:t xml:space="preserve">21.</w:t>
      </w:r>
      <w:r>
        <w:t xml:space="preserve"> </w:t>
      </w:r>
      <w:r>
        <w:t xml:space="preserve">	</w:t>
      </w:r>
      <w:r>
        <w:t xml:space="preserve">Bravo Rocca GJ. Human-on-the-loop continual learning [Internet] [PhD thesis]. Universitat Politècnica de Catalunya; 2023. Available from:</w:t>
      </w:r>
      <w:r>
        <w:t xml:space="preserve"> </w:t>
      </w:r>
      <w:hyperlink r:id="rId153">
        <w:r>
          <w:rPr>
            <w:rStyle w:val="Hyperlink"/>
          </w:rPr>
          <w:t xml:space="preserve">https://www.tdx.cat/bitstream/handle/10803/695722/TGJBR1de1.pdf?sequence=1</w:t>
        </w:r>
      </w:hyperlink>
    </w:p>
    <w:bookmarkEnd w:id="154"/>
    <w:bookmarkStart w:id="156" w:name="ref-mosqueirarey2023"/>
    <w:p>
      <w:pPr>
        <w:pStyle w:val="Bibliography"/>
      </w:pPr>
      <w:r>
        <w:t xml:space="preserve">22.</w:t>
      </w:r>
      <w:r>
        <w:t xml:space="preserve"> </w:t>
      </w:r>
      <w:r>
        <w:t xml:space="preserve">	</w:t>
      </w:r>
      <w:r>
        <w:t xml:space="preserve">Mosqueira-Rey E et al. Human-in-the-loop machine learning: A state of the art. Artificial Intelligence Review [Internet]. 2023;56:3005–54. Available from:</w:t>
      </w:r>
      <w:r>
        <w:t xml:space="preserve"> </w:t>
      </w:r>
      <w:hyperlink r:id="rId155">
        <w:r>
          <w:rPr>
            <w:rStyle w:val="Hyperlink"/>
          </w:rPr>
          <w:t xml:space="preserve">https://link.springer.com/content/pdf/10.1007/s10462-022-10246-w.pdf</w:t>
        </w:r>
      </w:hyperlink>
    </w:p>
    <w:bookmarkEnd w:id="156"/>
    <w:bookmarkStart w:id="158"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7">
        <w:r>
          <w:rPr>
            <w:rStyle w:val="Hyperlink"/>
          </w:rPr>
          <w:t xml:space="preserve">https://dspace.flinders.edu.au/jspui/bitstream/2328/3326/4/AACODS_Checklist.pdf</w:t>
        </w:r>
      </w:hyperlink>
    </w:p>
    <w:bookmarkEnd w:id="158"/>
    <w:bookmarkStart w:id="160" w:name="ref-ziletti2024"/>
    <w:p>
      <w:pPr>
        <w:pStyle w:val="Bibliography"/>
      </w:pPr>
      <w:r>
        <w:t xml:space="preserve">24.</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9">
        <w:r>
          <w:rPr>
            <w:rStyle w:val="Hyperlink"/>
          </w:rPr>
          <w:t xml:space="preserve">https://arxiv.org/abs/2403.09226</w:t>
        </w:r>
      </w:hyperlink>
    </w:p>
    <w:bookmarkEnd w:id="160"/>
    <w:bookmarkStart w:id="162" w:name="ref-wang2025"/>
    <w:p>
      <w:pPr>
        <w:pStyle w:val="Bibliography"/>
      </w:pPr>
      <w:r>
        <w:t xml:space="preserve">25.</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161">
        <w:r>
          <w:rPr>
            <w:rStyle w:val="Hyperlink"/>
          </w:rPr>
          <w:t xml:space="preserve">https://arxiv.org/abs/2508.08224</w:t>
        </w:r>
      </w:hyperlink>
    </w:p>
    <w:bookmarkEnd w:id="162"/>
    <w:bookmarkStart w:id="164" w:name="ref-openai2025"/>
    <w:p>
      <w:pPr>
        <w:pStyle w:val="Bibliography"/>
      </w:pPr>
      <w:r>
        <w:t xml:space="preserve">26.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63">
        <w:r>
          <w:rPr>
            <w:rStyle w:val="Hyperlink"/>
          </w:rPr>
          <w:t xml:space="preserve">https://arxiv.org/abs/2505.08775</w:t>
        </w:r>
      </w:hyperlink>
    </w:p>
    <w:bookmarkEnd w:id="164"/>
    <w:bookmarkStart w:id="166" w:name="ref-medagentbench2024"/>
    <w:p>
      <w:pPr>
        <w:pStyle w:val="Bibliography"/>
      </w:pPr>
      <w:r>
        <w:t xml:space="preserve">27.</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65">
        <w:r>
          <w:rPr>
            <w:rStyle w:val="Hyperlink"/>
          </w:rPr>
          <w:t xml:space="preserve">https://ai.nejm.org/doi/full/10.1056/AIdbp2500144</w:t>
        </w:r>
      </w:hyperlink>
    </w:p>
    <w:bookmarkEnd w:id="166"/>
    <w:bookmarkStart w:id="168" w:name="ref-wu2024a"/>
    <w:p>
      <w:pPr>
        <w:pStyle w:val="Bibliography"/>
      </w:pPr>
      <w:r>
        <w:t xml:space="preserve">28.</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67">
        <w:r>
          <w:rPr>
            <w:rStyle w:val="Hyperlink"/>
          </w:rPr>
          <w:t xml:space="preserve">https://www.nature.com/articles/s41746-024-01390-4</w:t>
        </w:r>
      </w:hyperlink>
    </w:p>
    <w:bookmarkEnd w:id="168"/>
    <w:bookmarkStart w:id="170" w:name="ref-blaskovic2025"/>
    <w:p>
      <w:pPr>
        <w:pStyle w:val="Bibliography"/>
      </w:pPr>
      <w:r>
        <w:t xml:space="preserve">29.</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169">
        <w:r>
          <w:rPr>
            <w:rStyle w:val="Hyperlink"/>
          </w:rPr>
          <w:t xml:space="preserve">https://www.mdpi.com/2504-2289/9/10/256</w:t>
        </w:r>
      </w:hyperlink>
    </w:p>
    <w:bookmarkEnd w:id="170"/>
    <w:bookmarkStart w:id="172" w:name="ref-navarro2023"/>
    <w:p>
      <w:pPr>
        <w:pStyle w:val="Bibliography"/>
      </w:pPr>
      <w:r>
        <w:t xml:space="preserve">30.</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71">
        <w:r>
          <w:rPr>
            <w:rStyle w:val="Hyperlink"/>
          </w:rPr>
          <w:t xml:space="preserve">https://www.sciencedirect.com/science/article/pii/S1386505623001405</w:t>
        </w:r>
      </w:hyperlink>
    </w:p>
    <w:bookmarkEnd w:id="172"/>
    <w:bookmarkStart w:id="174" w:name="ref-wang2020"/>
    <w:p>
      <w:pPr>
        <w:pStyle w:val="Bibliography"/>
      </w:pPr>
      <w:r>
        <w:t xml:space="preserve">31.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3">
        <w:r>
          <w:rPr>
            <w:rStyle w:val="Hyperlink"/>
          </w:rPr>
          <w:t xml:space="preserve">https://arxiv.org/abs/1908.01839</w:t>
        </w:r>
      </w:hyperlink>
    </w:p>
    <w:bookmarkEnd w:id="174"/>
    <w:bookmarkStart w:id="176" w:name="ref-lee2023"/>
    <w:p>
      <w:pPr>
        <w:pStyle w:val="Bibliography"/>
      </w:pPr>
      <w:r>
        <w:t xml:space="preserve">32.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75">
        <w:r>
          <w:rPr>
            <w:rStyle w:val="Hyperlink"/>
          </w:rPr>
          <w:t xml:space="preserve">https://arxiv.org/abs/2301.07695</w:t>
        </w:r>
      </w:hyperlink>
    </w:p>
    <w:bookmarkEnd w:id="176"/>
    <w:bookmarkStart w:id="178" w:name="ref-sivasubramaniam2024"/>
    <w:p>
      <w:pPr>
        <w:pStyle w:val="Bibliography"/>
      </w:pPr>
      <w:r>
        <w:t xml:space="preserve">33.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77">
        <w:r>
          <w:rPr>
            <w:rStyle w:val="Hyperlink"/>
          </w:rPr>
          <w:t xml:space="preserve">https://arxiv.org/abs/2411.05521</w:t>
        </w:r>
      </w:hyperlink>
    </w:p>
    <w:bookmarkEnd w:id="178"/>
    <w:bookmarkStart w:id="180" w:name="ref-lee2025"/>
    <w:p>
      <w:pPr>
        <w:pStyle w:val="Bibliography"/>
      </w:pPr>
      <w:r>
        <w:t xml:space="preserve">34.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79">
        <w:r>
          <w:rPr>
            <w:rStyle w:val="Hyperlink"/>
          </w:rPr>
          <w:t xml:space="preserve">https://arxiv.org/abs/2511.17559</w:t>
        </w:r>
      </w:hyperlink>
    </w:p>
    <w:bookmarkEnd w:id="180"/>
    <w:bookmarkStart w:id="182" w:name="ref-chen2025"/>
    <w:p>
      <w:pPr>
        <w:pStyle w:val="Bibliography"/>
      </w:pPr>
      <w:r>
        <w:t xml:space="preserve">35.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181">
        <w:r>
          <w:rPr>
            <w:rStyle w:val="Hyperlink"/>
          </w:rPr>
          <w:t xml:space="preserve">https://www.sciencedirect.com/science/article/pii/S0031320324008197</w:t>
        </w:r>
      </w:hyperlink>
    </w:p>
    <w:bookmarkEnd w:id="182"/>
    <w:bookmarkStart w:id="184" w:name="ref-dadi2025"/>
    <w:p>
      <w:pPr>
        <w:pStyle w:val="Bibliography"/>
      </w:pPr>
      <w:r>
        <w:t xml:space="preserve">36.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183">
        <w:r>
          <w:rPr>
            <w:rStyle w:val="Hyperlink"/>
          </w:rPr>
          <w:t xml:space="preserve">https://al-kindipublisher.com/index.php/jcsts/article/view/9694</w:t>
        </w:r>
      </w:hyperlink>
    </w:p>
    <w:bookmarkEnd w:id="184"/>
    <w:bookmarkStart w:id="186" w:name="ref-yuan2019"/>
    <w:p>
      <w:pPr>
        <w:pStyle w:val="Bibliography"/>
      </w:pPr>
      <w:r>
        <w:t xml:space="preserve">37.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85">
        <w:r>
          <w:rPr>
            <w:rStyle w:val="Hyperlink"/>
          </w:rPr>
          <w:t xml:space="preserve">https://academic.oup.com/jamia/article-abstract/26/4/294/5308980</w:t>
        </w:r>
      </w:hyperlink>
    </w:p>
    <w:bookmarkEnd w:id="186"/>
    <w:bookmarkStart w:id="188" w:name="ref-park2024"/>
    <w:p>
      <w:pPr>
        <w:pStyle w:val="Bibliography"/>
      </w:pPr>
      <w:r>
        <w:t xml:space="preserve">38.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187">
        <w:r>
          <w:rPr>
            <w:rStyle w:val="Hyperlink"/>
          </w:rPr>
          <w:t xml:space="preserve">https://www.sciencedirect.com/science/article/pii/S1532046424000650</w:t>
        </w:r>
      </w:hyperlink>
    </w:p>
    <w:bookmarkEnd w:id="188"/>
    <w:bookmarkStart w:id="190" w:name="ref-ipeirotis2025"/>
    <w:p>
      <w:pPr>
        <w:pStyle w:val="Bibliography"/>
      </w:pPr>
      <w:r>
        <w:t xml:space="preserve">39.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189">
        <w:r>
          <w:rPr>
            <w:rStyle w:val="Hyperlink"/>
          </w:rPr>
          <w:t xml:space="preserve">https://arxiv.org/abs/2511.14718</w:t>
        </w:r>
      </w:hyperlink>
    </w:p>
    <w:bookmarkEnd w:id="190"/>
    <w:bookmarkStart w:id="192" w:name="ref-shah2020"/>
    <w:p>
      <w:pPr>
        <w:pStyle w:val="Bibliography"/>
      </w:pPr>
      <w:r>
        <w:t xml:space="preserve">40.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191">
        <w:r>
          <w:rPr>
            <w:rStyle w:val="Hyperlink"/>
          </w:rPr>
          <w:t xml:space="preserve">https://dl.acm.org/doi/abs/10.1145/3318464.3389777</w:t>
        </w:r>
      </w:hyperlink>
    </w:p>
    <w:bookmarkEnd w:id="192"/>
    <w:bookmarkStart w:id="194" w:name="ref-safari2014"/>
    <w:p>
      <w:pPr>
        <w:pStyle w:val="Bibliography"/>
      </w:pPr>
      <w:r>
        <w:t xml:space="preserve">41.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193">
        <w:r>
          <w:rPr>
            <w:rStyle w:val="Hyperlink"/>
          </w:rPr>
          <w:t xml:space="preserve">https://www.sciencedirect.com/science/article/pii/S1532046414001592</w:t>
        </w:r>
      </w:hyperlink>
    </w:p>
    <w:bookmarkEnd w:id="194"/>
    <w:bookmarkStart w:id="196" w:name="ref-han2019"/>
    <w:p>
      <w:pPr>
        <w:pStyle w:val="Bibliography"/>
      </w:pPr>
      <w:r>
        <w:t xml:space="preserve">42.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195">
        <w:r>
          <w:rPr>
            <w:rStyle w:val="Hyperlink"/>
          </w:rPr>
          <w:t xml:space="preserve">https://medinform.jmir.org/2019/2/e13331</w:t>
        </w:r>
      </w:hyperlink>
    </w:p>
    <w:bookmarkEnd w:id="196"/>
    <w:bookmarkStart w:id="198" w:name="ref-marshan2024"/>
    <w:p>
      <w:pPr>
        <w:pStyle w:val="Bibliography"/>
      </w:pPr>
      <w:r>
        <w:t xml:space="preserve">43.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197">
        <w:r>
          <w:rPr>
            <w:rStyle w:val="Hyperlink"/>
          </w:rPr>
          <w:t xml:space="preserve">https://www.frontiersin.org/articles/10.3389/fdata.2024.1371680</w:t>
        </w:r>
      </w:hyperlink>
    </w:p>
    <w:bookmarkEnd w:id="198"/>
    <w:bookmarkStart w:id="200" w:name="ref-saha2023"/>
    <w:p>
      <w:pPr>
        <w:pStyle w:val="Bibliography"/>
      </w:pPr>
      <w:r>
        <w:t xml:space="preserve">44.</w:t>
      </w:r>
      <w:r>
        <w:t xml:space="preserve"> </w:t>
      </w:r>
      <w:r>
        <w:t xml:space="preserve">	</w:t>
      </w:r>
      <w:r>
        <w:t xml:space="preserve">Saha G B. K.</w:t>
      </w:r>
      <w:r>
        <w:t xml:space="preserve"> </w:t>
      </w:r>
      <w:r>
        <w:t xml:space="preserve">NLINQ: A natural language interface for querying network performance</w:t>
      </w:r>
      <w:r>
        <w:t xml:space="preserve">. Applied Intelligence [Internet]. 2023; Available from:</w:t>
      </w:r>
      <w:r>
        <w:t xml:space="preserve"> </w:t>
      </w:r>
      <w:hyperlink r:id="rId199">
        <w:r>
          <w:rPr>
            <w:rStyle w:val="Hyperlink"/>
          </w:rPr>
          <w:t xml:space="preserve">https://link.springer.com/article/10.1007/s10489-023-04567-2</w:t>
        </w:r>
      </w:hyperlink>
    </w:p>
    <w:bookmarkEnd w:id="200"/>
    <w:bookmarkStart w:id="202" w:name="ref-khandelwal2025"/>
    <w:p>
      <w:pPr>
        <w:pStyle w:val="Bibliography"/>
      </w:pPr>
      <w:r>
        <w:t xml:space="preserve">45.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01">
        <w:r>
          <w:rPr>
            <w:rStyle w:val="Hyperlink"/>
          </w:rPr>
          <w:t xml:space="preserve">https://sarcouncil.com/2025/06/ai-driven-mainframe-modernization-unlocking-legacy-data-for-cloud-analytics</w:t>
        </w:r>
      </w:hyperlink>
    </w:p>
    <w:bookmarkEnd w:id="202"/>
    <w:bookmarkStart w:id="204" w:name="ref-snowdon2024b"/>
    <w:p>
      <w:pPr>
        <w:pStyle w:val="Bibliography"/>
      </w:pPr>
      <w:r>
        <w:t xml:space="preserve">46.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203">
        <w:r>
          <w:rPr>
            <w:rStyle w:val="Hyperlink"/>
          </w:rPr>
          <w:t xml:space="preserve">https://legacy.himss.org/news/new-analytics-maturity-adoption-model-pushes-digital-transformation-and-data-driven-decisions</w:t>
        </w:r>
      </w:hyperlink>
    </w:p>
    <w:bookmarkEnd w:id="204"/>
    <w:bookmarkStart w:id="206" w:name="ref-wang2018"/>
    <w:p>
      <w:pPr>
        <w:pStyle w:val="Bibliography"/>
      </w:pPr>
      <w:r>
        <w:t xml:space="preserve">47.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205">
        <w:r>
          <w:rPr>
            <w:rStyle w:val="Hyperlink"/>
          </w:rPr>
          <w:t xml:space="preserve">https://www.sciencedirect.com/science/article/pii/S0040162515003692</w:t>
        </w:r>
      </w:hyperlink>
    </w:p>
    <w:bookmarkEnd w:id="206"/>
    <w:bookmarkStart w:id="208" w:name="ref-wang2017"/>
    <w:p>
      <w:pPr>
        <w:pStyle w:val="Bibliography"/>
      </w:pPr>
      <w:r>
        <w:t xml:space="preserve">48.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207">
        <w:r>
          <w:rPr>
            <w:rStyle w:val="Hyperlink"/>
          </w:rPr>
          <w:t xml:space="preserve">https://www.sciencedirect.com/science/article/abs/pii/S0148296316304891</w:t>
        </w:r>
      </w:hyperlink>
    </w:p>
    <w:bookmarkEnd w:id="208"/>
    <w:bookmarkStart w:id="210" w:name="ref-snowdon2024"/>
    <w:p>
      <w:pPr>
        <w:pStyle w:val="Bibliography"/>
      </w:pPr>
      <w:r>
        <w:t xml:space="preserve">49.</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209">
        <w:r>
          <w:rPr>
            <w:rStyle w:val="Hyperlink"/>
          </w:rPr>
          <w:t xml:space="preserve">https://www.jmir.org/2024/1/e56316</w:t>
        </w:r>
      </w:hyperlink>
    </w:p>
    <w:bookmarkEnd w:id="210"/>
    <w:bookmarkStart w:id="212" w:name="ref-snowdon2024a"/>
    <w:p>
      <w:pPr>
        <w:pStyle w:val="Bibliography"/>
      </w:pPr>
      <w:r>
        <w:t xml:space="preserve">50.</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211">
        <w:r>
          <w:rPr>
            <w:rStyle w:val="Hyperlink"/>
          </w:rPr>
          <w:t xml:space="preserve">https://journals.sagepub.com/doi/full/10.1177/23743735241253785</w:t>
        </w:r>
      </w:hyperlink>
    </w:p>
    <w:bookmarkEnd w:id="212"/>
    <w:bookmarkStart w:id="214" w:name="ref-wang2019"/>
    <w:p>
      <w:pPr>
        <w:pStyle w:val="Bibliography"/>
      </w:pPr>
      <w:r>
        <w:t xml:space="preserve">51.</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13">
        <w:r>
          <w:rPr>
            <w:rStyle w:val="Hyperlink"/>
          </w:rPr>
          <w:t xml:space="preserve">https://onlinelibrary.wiley.com/doi/abs/10.1111/1467-8551.12332</w:t>
        </w:r>
      </w:hyperlink>
    </w:p>
    <w:bookmarkEnd w:id="214"/>
    <w:bookmarkStart w:id="216" w:name="ref-gomes2025"/>
    <w:p>
      <w:pPr>
        <w:pStyle w:val="Bibliography"/>
      </w:pPr>
      <w:r>
        <w:t xml:space="preserve">52.</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15">
        <w:r>
          <w:rPr>
            <w:rStyle w:val="Hyperlink"/>
          </w:rPr>
          <w:t xml:space="preserve">https://www.mdpi.com/2227-9032/13/1/1</w:t>
        </w:r>
      </w:hyperlink>
    </w:p>
    <w:bookmarkEnd w:id="216"/>
    <w:bookmarkStart w:id="218" w:name="ref-woods2024"/>
    <w:p>
      <w:pPr>
        <w:pStyle w:val="Bibliography"/>
      </w:pPr>
      <w:r>
        <w:t xml:space="preserve">53.</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17">
        <w:r>
          <w:rPr>
            <w:rStyle w:val="Hyperlink"/>
          </w:rPr>
          <w:t xml:space="preserve">https://www.sciencedirect.com/science/article/pii/S1386505624001916</w:t>
        </w:r>
      </w:hyperlink>
    </w:p>
    <w:bookmarkEnd w:id="218"/>
    <w:bookmarkStart w:id="220" w:name="ref-saintulysse2021"/>
    <w:p>
      <w:pPr>
        <w:pStyle w:val="Bibliography"/>
      </w:pPr>
      <w:r>
        <w:t xml:space="preserve">54.</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19">
        <w:r>
          <w:rPr>
            <w:rStyle w:val="Hyperlink"/>
          </w:rPr>
          <w:t xml:space="preserve">https://scholarworks.waldenu.edu/cgi/viewcontent.cgi?article=12395&amp;context=dissertations</w:t>
        </w:r>
      </w:hyperlink>
    </w:p>
    <w:bookmarkEnd w:id="220"/>
    <w:bookmarkStart w:id="222" w:name="ref-martin2019"/>
    <w:p>
      <w:pPr>
        <w:pStyle w:val="Bibliography"/>
      </w:pPr>
      <w:r>
        <w:t xml:space="preserve">55.</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21">
        <w:r>
          <w:rPr>
            <w:rStyle w:val="Hyperlink"/>
          </w:rPr>
          <w:t xml:space="preserve">https://www.nature.com/articles/s41746-019-0118-9</w:t>
        </w:r>
      </w:hyperlink>
    </w:p>
    <w:bookmarkEnd w:id="222"/>
    <w:bookmarkStart w:id="224" w:name="ref-kamble2019"/>
    <w:p>
      <w:pPr>
        <w:pStyle w:val="Bibliography"/>
      </w:pPr>
      <w:r>
        <w:t xml:space="preserve">56.</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223">
        <w:r>
          <w:rPr>
            <w:rStyle w:val="Hyperlink"/>
          </w:rPr>
          <w:t xml:space="preserve">https://www.tandfonline.com/doi/full/10.1080/20479700.2018.1531606</w:t>
        </w:r>
      </w:hyperlink>
    </w:p>
    <w:bookmarkEnd w:id="224"/>
    <w:bookmarkStart w:id="226" w:name="ref-health2020"/>
    <w:p>
      <w:pPr>
        <w:pStyle w:val="Bibliography"/>
      </w:pPr>
      <w:r>
        <w:t xml:space="preserve">57.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225">
        <w:r>
          <w:rPr>
            <w:rStyle w:val="Hyperlink"/>
          </w:rPr>
          <w:t xml:space="preserve">https://www.healthcatalyst.com/learn/insights/healthcare-analytics-adoption-model-roadmap-analytic-maturity</w:t>
        </w:r>
      </w:hyperlink>
    </w:p>
    <w:bookmarkEnd w:id="226"/>
    <w:bookmarkStart w:id="228" w:name="ref-bardsley2016"/>
    <w:p>
      <w:pPr>
        <w:pStyle w:val="Bibliography"/>
      </w:pPr>
      <w:r>
        <w:t xml:space="preserve">58.</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27">
        <w:r>
          <w:rPr>
            <w:rStyle w:val="Hyperlink"/>
          </w:rPr>
          <w:t xml:space="preserve">https://www.health.org.uk/publications/understanding-analytical-capability-in-health-care</w:t>
        </w:r>
      </w:hyperlink>
    </w:p>
    <w:bookmarkEnd w:id="228"/>
    <w:bookmarkStart w:id="230" w:name="ref-pesqueira2020"/>
    <w:p>
      <w:pPr>
        <w:pStyle w:val="Bibliography"/>
      </w:pPr>
      <w:r>
        <w:t xml:space="preserve">59.</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29">
        <w:r>
          <w:rPr>
            <w:rStyle w:val="Hyperlink"/>
          </w:rPr>
          <w:t xml:space="preserve">https://link.springer.com/article/10.1007/s10916-020-01665-9</w:t>
        </w:r>
      </w:hyperlink>
    </w:p>
    <w:bookmarkEnd w:id="230"/>
    <w:bookmarkStart w:id="232" w:name="ref-carvalho2019"/>
    <w:p>
      <w:pPr>
        <w:pStyle w:val="Bibliography"/>
      </w:pPr>
      <w:r>
        <w:t xml:space="preserve">60.</w:t>
      </w:r>
      <w:r>
        <w:t xml:space="preserve"> </w:t>
      </w:r>
      <w:r>
        <w:t xml:space="preserve">	</w:t>
      </w:r>
      <w:r>
        <w:t xml:space="preserve">Carvalho JV, Rocha Á, Vasconcelos J.</w:t>
      </w:r>
      <w:r>
        <w:t xml:space="preserve"> </w:t>
      </w:r>
      <w:hyperlink r:id="rId23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32"/>
    <w:bookmarkStart w:id="233" w:name="ref-pintovalverde2013"/>
    <w:p>
      <w:pPr>
        <w:pStyle w:val="Bibliography"/>
      </w:pPr>
      <w:r>
        <w:t xml:space="preserve">61.</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33"/>
    <w:bookmarkStart w:id="234" w:name="ref-gokalp2023"/>
    <w:p>
      <w:pPr>
        <w:pStyle w:val="Bibliography"/>
      </w:pPr>
      <w:r>
        <w:t xml:space="preserve">62.</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234"/>
    <w:bookmarkStart w:id="235" w:name="ref-lismont2017"/>
    <w:p>
      <w:pPr>
        <w:pStyle w:val="Bibliography"/>
      </w:pPr>
      <w:r>
        <w:t xml:space="preserve">63.</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35"/>
    <w:bookmarkStart w:id="236" w:name="ref-yang2021"/>
    <w:p>
      <w:pPr>
        <w:pStyle w:val="Bibliography"/>
      </w:pPr>
      <w:r>
        <w:t xml:space="preserve">64.</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36"/>
    <w:bookmarkStart w:id="237" w:name="ref-arts2002"/>
    <w:p>
      <w:pPr>
        <w:pStyle w:val="Bibliography"/>
      </w:pPr>
      <w:r>
        <w:t xml:space="preserve">65.</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37"/>
    <w:bookmarkStart w:id="238" w:name="ref-mccoy2013"/>
    <w:p>
      <w:pPr>
        <w:pStyle w:val="Bibliography"/>
      </w:pPr>
      <w:r>
        <w:t xml:space="preserve">66.</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38"/>
    <w:bookmarkStart w:id="239" w:name="ref-rahman2020"/>
    <w:p>
      <w:pPr>
        <w:pStyle w:val="Bibliography"/>
      </w:pPr>
      <w:r>
        <w:t xml:space="preserve">67.</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39"/>
    <w:bookmarkStart w:id="240" w:name="ref-sirgo2018"/>
    <w:p>
      <w:pPr>
        <w:pStyle w:val="Bibliography"/>
      </w:pPr>
      <w:r>
        <w:t xml:space="preserve">68.</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40"/>
    <w:bookmarkStart w:id="241" w:name="ref-shi2021"/>
    <w:p>
      <w:pPr>
        <w:pStyle w:val="Bibliography"/>
      </w:pPr>
      <w:r>
        <w:t xml:space="preserve">69.</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41"/>
    <w:bookmarkStart w:id="242" w:name="ref-dugas2016"/>
    <w:p>
      <w:pPr>
        <w:pStyle w:val="Bibliography"/>
      </w:pPr>
      <w:r>
        <w:t xml:space="preserve">70.</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42"/>
    <w:bookmarkStart w:id="243" w:name="ref-bokov2017"/>
    <w:p>
      <w:pPr>
        <w:pStyle w:val="Bibliography"/>
      </w:pPr>
      <w:r>
        <w:t xml:space="preserve">71.</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43"/>
    <w:bookmarkStart w:id="244" w:name="ref-ulrich2022"/>
    <w:p>
      <w:pPr>
        <w:pStyle w:val="Bibliography"/>
      </w:pPr>
      <w:r>
        <w:t xml:space="preserve">72.</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44"/>
    <w:bookmarkStart w:id="245" w:name="ref-lucyk2017"/>
    <w:p>
      <w:pPr>
        <w:pStyle w:val="Bibliography"/>
      </w:pPr>
      <w:r>
        <w:t xml:space="preserve">73.</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45"/>
    <w:bookmarkStart w:id="246" w:name="ref-hovenga2013"/>
    <w:p>
      <w:pPr>
        <w:pStyle w:val="Bibliography"/>
      </w:pPr>
      <w:r>
        <w:t xml:space="preserve">74.</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46"/>
    <w:bookmarkStart w:id="248" w:name="ref-wu2024"/>
    <w:p>
      <w:pPr>
        <w:pStyle w:val="Bibliography"/>
      </w:pPr>
      <w:r>
        <w:t xml:space="preserve">75.</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7">
        <w:r>
          <w:rPr>
            <w:rStyle w:val="Hyperlink"/>
          </w:rPr>
          <w:t xml:space="preserve">https://pmc.ncbi.nlm.nih.gov/articles/PMC10802134/</w:t>
        </w:r>
      </w:hyperlink>
    </w:p>
    <w:bookmarkEnd w:id="248"/>
    <w:bookmarkStart w:id="250" w:name="ref-ren2024"/>
    <w:p>
      <w:pPr>
        <w:pStyle w:val="Bibliography"/>
      </w:pPr>
      <w:r>
        <w:t xml:space="preserve">76.</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9">
        <w:r>
          <w:rPr>
            <w:rStyle w:val="Hyperlink"/>
          </w:rPr>
          <w:t xml:space="preserve">https://pmc.ncbi.nlm.nih.gov/articles/PMC11919231/</w:t>
        </w:r>
      </w:hyperlink>
    </w:p>
    <w:bookmarkEnd w:id="250"/>
    <w:bookmarkStart w:id="252" w:name="ref-massingham2018"/>
    <w:p>
      <w:pPr>
        <w:pStyle w:val="Bibliography"/>
      </w:pPr>
      <w:r>
        <w:t xml:space="preserve">77.</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51">
        <w:r>
          <w:rPr>
            <w:rStyle w:val="Hyperlink"/>
          </w:rPr>
          <w:t xml:space="preserve">https://doi.org/10.1108/JKM-08-2016-0338</w:t>
        </w:r>
      </w:hyperlink>
    </w:p>
    <w:bookmarkEnd w:id="252"/>
    <w:bookmarkStart w:id="254" w:name="ref-jones2005"/>
    <w:p>
      <w:pPr>
        <w:pStyle w:val="Bibliography"/>
      </w:pPr>
      <w:r>
        <w:t xml:space="preserve">78.</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53">
        <w:r>
          <w:rPr>
            <w:rStyle w:val="Hyperlink"/>
          </w:rPr>
          <w:t xml:space="preserve">https://journals.lww.com/jonajournal/abstract/2005/01000/the_costs_of_nurse_turnover__part_2__application.14.aspx</w:t>
        </w:r>
      </w:hyperlink>
    </w:p>
    <w:bookmarkEnd w:id="254"/>
    <w:bookmarkStart w:id="256" w:name="ref-willardgrace2019"/>
    <w:p>
      <w:pPr>
        <w:pStyle w:val="Bibliography"/>
      </w:pPr>
      <w:r>
        <w:t xml:space="preserve">79.</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5">
        <w:r>
          <w:rPr>
            <w:rStyle w:val="Hyperlink"/>
          </w:rPr>
          <w:t xml:space="preserve">https://www.annfammed.org/content/17/1/36</w:t>
        </w:r>
      </w:hyperlink>
    </w:p>
    <w:bookmarkEnd w:id="256"/>
    <w:bookmarkStart w:id="258" w:name="ref-melnick2021"/>
    <w:p>
      <w:pPr>
        <w:pStyle w:val="Bibliography"/>
      </w:pPr>
      <w:r>
        <w:t xml:space="preserve">80.</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57">
        <w:r>
          <w:rPr>
            <w:rStyle w:val="Hyperlink"/>
          </w:rPr>
          <w:t xml:space="preserve">https://jamanetwork.com/journals/jamanetworkopen/fullarticle/2784810</w:t>
        </w:r>
      </w:hyperlink>
    </w:p>
    <w:bookmarkEnd w:id="258"/>
    <w:bookmarkStart w:id="260" w:name="ref-oracle2024"/>
    <w:p>
      <w:pPr>
        <w:pStyle w:val="Bibliography"/>
      </w:pPr>
      <w:r>
        <w:t xml:space="preserve">81.</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59">
        <w:r>
          <w:rPr>
            <w:rStyle w:val="Hyperlink"/>
          </w:rPr>
          <w:t xml:space="preserve">https://www.oracle.com/human-capital-management/cost-employee-turnover-healthcare/</w:t>
        </w:r>
      </w:hyperlink>
    </w:p>
    <w:bookmarkEnd w:id="260"/>
    <w:bookmarkStart w:id="262" w:name="ref-ledikwe2013"/>
    <w:p>
      <w:pPr>
        <w:pStyle w:val="Bibliography"/>
      </w:pPr>
      <w:r>
        <w:t xml:space="preserve">82.</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61">
        <w:r>
          <w:rPr>
            <w:rStyle w:val="Hyperlink"/>
          </w:rPr>
          <w:t xml:space="preserve">https://human-resources-health.biomedcentral.com/articles/10.1186/1478-4491-11-35</w:t>
        </w:r>
      </w:hyperlink>
    </w:p>
    <w:bookmarkEnd w:id="262"/>
    <w:bookmarkStart w:id="264" w:name="ref-mantas2010"/>
    <w:p>
      <w:pPr>
        <w:pStyle w:val="Bibliography"/>
      </w:pPr>
      <w:r>
        <w:t xml:space="preserve">83.</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63">
        <w:r>
          <w:rPr>
            <w:rStyle w:val="Hyperlink"/>
          </w:rPr>
          <w:t xml:space="preserve">https://pubmed.ncbi.nlm.nih.gov/20054502/</w:t>
        </w:r>
      </w:hyperlink>
    </w:p>
    <w:bookmarkEnd w:id="264"/>
    <w:bookmarkStart w:id="266" w:name="ref-musa2023"/>
    <w:p>
      <w:pPr>
        <w:pStyle w:val="Bibliography"/>
      </w:pPr>
      <w:r>
        <w:t xml:space="preserve">84.</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65">
        <w:r>
          <w:rPr>
            <w:rStyle w:val="Hyperlink"/>
          </w:rPr>
          <w:t xml:space="preserve">https://pmc.ncbi.nlm.nih.gov/articles/PMC10243608/</w:t>
        </w:r>
      </w:hyperlink>
    </w:p>
    <w:bookmarkEnd w:id="266"/>
    <w:bookmarkStart w:id="268" w:name="ref-konrad2022"/>
    <w:p>
      <w:pPr>
        <w:pStyle w:val="Bibliography"/>
      </w:pPr>
      <w:r>
        <w:t xml:space="preserve">85.</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7">
        <w:r>
          <w:rPr>
            <w:rStyle w:val="Hyperlink"/>
          </w:rPr>
          <w:t xml:space="preserve">https://www.diva-portal.org/smash/record.jsf?pid=diva2:1684142</w:t>
        </w:r>
      </w:hyperlink>
    </w:p>
    <w:bookmarkEnd w:id="268"/>
    <w:bookmarkStart w:id="270" w:name="ref-rangachari2020"/>
    <w:p>
      <w:pPr>
        <w:pStyle w:val="Bibliography"/>
      </w:pPr>
      <w:r>
        <w:t xml:space="preserve">86.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69">
        <w:r>
          <w:rPr>
            <w:rStyle w:val="Hyperlink"/>
          </w:rPr>
          <w:t xml:space="preserve">https://www.mdpi.com/1660-4601/17/12/4267</w:t>
        </w:r>
      </w:hyperlink>
    </w:p>
    <w:bookmarkEnd w:id="270"/>
    <w:bookmarkStart w:id="272" w:name="ref-bae2010"/>
    <w:p>
      <w:pPr>
        <w:pStyle w:val="Bibliography"/>
      </w:pPr>
      <w:r>
        <w:t xml:space="preserve">87.</w:t>
      </w:r>
      <w:r>
        <w:t xml:space="preserve"> </w:t>
      </w:r>
      <w:r>
        <w:t xml:space="preserve">	</w:t>
      </w:r>
      <w:r>
        <w:t xml:space="preserve">Bae M S. H.</w:t>
      </w:r>
      <w:r>
        <w:t xml:space="preserve"> </w:t>
      </w:r>
      <w:r>
        <w:t xml:space="preserve">Impact of nursing unit turnover on patient outcomes in hospitals</w:t>
      </w:r>
      <w:r>
        <w:t xml:space="preserve">. Journal of Nursing Scholarship [Internet]. 2010; Available from:</w:t>
      </w:r>
      <w:r>
        <w:t xml:space="preserve"> </w:t>
      </w:r>
      <w:hyperlink r:id="rId271">
        <w:r>
          <w:rPr>
            <w:rStyle w:val="Hyperlink"/>
          </w:rPr>
          <w:t xml:space="preserve">https://onlinelibrary.wiley.com/doi/abs/10.1111/j.1547-5069.2009.01319.x</w:t>
        </w:r>
      </w:hyperlink>
    </w:p>
    <w:bookmarkEnd w:id="272"/>
    <w:bookmarkStart w:id="274" w:name="ref-wakerman2019"/>
    <w:p>
      <w:pPr>
        <w:pStyle w:val="Bibliography"/>
      </w:pPr>
      <w:r>
        <w:t xml:space="preserve">88.</w:t>
      </w:r>
      <w:r>
        <w:t xml:space="preserve"> </w:t>
      </w:r>
      <w:r>
        <w:t xml:space="preserve">	</w:t>
      </w:r>
      <w:r>
        <w:t xml:space="preserve">Wakerman H J.</w:t>
      </w:r>
      <w:r>
        <w:t xml:space="preserve"> </w:t>
      </w:r>
      <w:r>
        <w:t xml:space="preserve">Remote health workforce turnover and retention: What are the policy and practice priorities?</w:t>
      </w:r>
      <w:r>
        <w:t xml:space="preserve"> Human Resources for Health [Internet]. 2019; Available from:</w:t>
      </w:r>
      <w:r>
        <w:t xml:space="preserve"> </w:t>
      </w:r>
      <w:hyperlink r:id="rId273">
        <w:r>
          <w:rPr>
            <w:rStyle w:val="Hyperlink"/>
          </w:rPr>
          <w:t xml:space="preserve">https://human-resources-health.biomedcentral.com/articles/10.1186/s12960-019-0432-y</w:t>
        </w:r>
      </w:hyperlink>
    </w:p>
    <w:bookmarkEnd w:id="274"/>
    <w:bookmarkStart w:id="276" w:name="ref-lahaie2005"/>
    <w:p>
      <w:pPr>
        <w:pStyle w:val="Bibliography"/>
      </w:pPr>
      <w:r>
        <w:t xml:space="preserve">89.</w:t>
      </w:r>
      <w:r>
        <w:t xml:space="preserve"> </w:t>
      </w:r>
      <w:r>
        <w:t xml:space="preserve">	</w:t>
      </w:r>
      <w:r>
        <w:t xml:space="preserve">Lahaie D.</w:t>
      </w:r>
      <w:r>
        <w:t xml:space="preserve"> </w:t>
      </w:r>
      <w:r>
        <w:t xml:space="preserve">The impact of corporate memory loss: What happens when a senior executive leaves?</w:t>
      </w:r>
      <w:r>
        <w:t xml:space="preserve"> Leadership in Health Services [Internet]. 2005; Available from:</w:t>
      </w:r>
      <w:r>
        <w:t xml:space="preserve"> </w:t>
      </w:r>
      <w:hyperlink r:id="rId275">
        <w:r>
          <w:rPr>
            <w:rStyle w:val="Hyperlink"/>
          </w:rPr>
          <w:t xml:space="preserve">https://www.emerald.com/insight/content/doi/10.1108/13660750510611198/full/html</w:t>
        </w:r>
      </w:hyperlink>
    </w:p>
    <w:bookmarkEnd w:id="276"/>
    <w:bookmarkStart w:id="278" w:name="ref-mayo2016"/>
    <w:p>
      <w:pPr>
        <w:pStyle w:val="Bibliography"/>
      </w:pPr>
      <w:r>
        <w:t xml:space="preserve">90.</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77">
        <w:r>
          <w:rPr>
            <w:rStyle w:val="Hyperlink"/>
          </w:rPr>
          <w:t xml:space="preserve">https://www.redjournal.org/article/S0360-3016(16)00260-1/fulltext</w:t>
        </w:r>
      </w:hyperlink>
    </w:p>
    <w:bookmarkEnd w:id="278"/>
    <w:bookmarkStart w:id="280" w:name="ref-goffin2011"/>
    <w:p>
      <w:pPr>
        <w:pStyle w:val="Bibliography"/>
      </w:pPr>
      <w:r>
        <w:t xml:space="preserve">91.</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79">
        <w:r>
          <w:rPr>
            <w:rStyle w:val="Hyperlink"/>
          </w:rPr>
          <w:t xml:space="preserve">https://onlinelibrary.wiley.com/doi/abs/10.1111/j.1540-5885.2010.00798.x</w:t>
        </w:r>
      </w:hyperlink>
    </w:p>
    <w:bookmarkEnd w:id="280"/>
    <w:bookmarkStart w:id="282" w:name="ref-foos2006"/>
    <w:p>
      <w:pPr>
        <w:pStyle w:val="Bibliography"/>
      </w:pPr>
      <w:r>
        <w:t xml:space="preserve">92.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81">
        <w:r>
          <w:rPr>
            <w:rStyle w:val="Hyperlink"/>
          </w:rPr>
          <w:t xml:space="preserve">https://www.emerald.com/insight/content/doi/10.1108/13673270610650067/full/html</w:t>
        </w:r>
      </w:hyperlink>
    </w:p>
    <w:bookmarkEnd w:id="282"/>
    <w:bookmarkStart w:id="284" w:name="ref-goffin2010"/>
    <w:p>
      <w:pPr>
        <w:pStyle w:val="Bibliography"/>
      </w:pPr>
      <w:r>
        <w:t xml:space="preserve">93.</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83">
        <w:r>
          <w:rPr>
            <w:rStyle w:val="Hyperlink"/>
          </w:rPr>
          <w:t xml:space="preserve">https://www.tandfonline.com/doi/abs/10.1080/08956308.2010.11657637</w:t>
        </w:r>
      </w:hyperlink>
    </w:p>
    <w:bookmarkEnd w:id="284"/>
    <w:bookmarkStart w:id="286" w:name="ref-rintala2006"/>
    <w:p>
      <w:pPr>
        <w:pStyle w:val="Bibliography"/>
      </w:pPr>
      <w:r>
        <w:t xml:space="preserve">94.</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85">
        <w:r>
          <w:rPr>
            <w:rStyle w:val="Hyperlink"/>
          </w:rPr>
          <w:t xml:space="preserve">https://www.inderscienceonline.com/doi/abs/10.1504/IJNKM.2006.009880</w:t>
        </w:r>
      </w:hyperlink>
    </w:p>
    <w:bookmarkEnd w:id="286"/>
    <w:bookmarkStart w:id="288" w:name="ref-shahbaz2019"/>
    <w:p>
      <w:pPr>
        <w:pStyle w:val="Bibliography"/>
      </w:pPr>
      <w:r>
        <w:t xml:space="preserve">95.</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287">
        <w:r>
          <w:rPr>
            <w:rStyle w:val="Hyperlink"/>
          </w:rPr>
          <w:t xml:space="preserve">https://journalofbigdata.springeropen.com/articles/10.1186/s40537-019-0170-y</w:t>
        </w:r>
      </w:hyperlink>
    </w:p>
    <w:bookmarkEnd w:id="288"/>
    <w:bookmarkStart w:id="290" w:name="ref-milneives2020"/>
    <w:p>
      <w:pPr>
        <w:pStyle w:val="Bibliography"/>
      </w:pPr>
      <w:r>
        <w:t xml:space="preserve">96.</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89">
        <w:r>
          <w:rPr>
            <w:rStyle w:val="Hyperlink"/>
          </w:rPr>
          <w:t xml:space="preserve">https://www.jmir.org/2020/10/e20346/</w:t>
        </w:r>
      </w:hyperlink>
    </w:p>
    <w:bookmarkEnd w:id="290"/>
    <w:bookmarkStart w:id="292" w:name="ref-li2023"/>
    <w:p>
      <w:pPr>
        <w:pStyle w:val="Bibliography"/>
      </w:pPr>
      <w:r>
        <w:t xml:space="preserve">97.</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1">
        <w:r>
          <w:rPr>
            <w:rStyle w:val="Hyperlink"/>
          </w:rPr>
          <w:t xml:space="preserve">https://www.sciencedirect.com/science/article/pii/S1386505623001296</w:t>
        </w:r>
      </w:hyperlink>
    </w:p>
    <w:bookmarkEnd w:id="292"/>
    <w:bookmarkStart w:id="294" w:name="ref-rollwage2023"/>
    <w:p>
      <w:pPr>
        <w:pStyle w:val="Bibliography"/>
      </w:pPr>
      <w:r>
        <w:t xml:space="preserve">98.</w:t>
      </w:r>
      <w:r>
        <w:t xml:space="preserve"> </w:t>
      </w:r>
      <w:r>
        <w:t xml:space="preserve">	</w:t>
      </w:r>
      <w:r>
        <w:t xml:space="preserve">Rollwage H M.</w:t>
      </w:r>
      <w:r>
        <w:t xml:space="preserve"> </w:t>
      </w:r>
      <w:r>
        <w:t xml:space="preserve">Using conversational</w:t>
      </w:r>
      <w:r>
        <w:t xml:space="preserve"> </w:t>
      </w:r>
      <w:r>
        <w:t xml:space="preserve">AI</w:t>
      </w:r>
      <w:r>
        <w:t xml:space="preserve"> </w:t>
      </w:r>
      <w:r>
        <w:t xml:space="preserve">to facilitate mental health assessments and improve clinical efficiency within psychotherapy services: real-world observational study</w:t>
      </w:r>
      <w:r>
        <w:t xml:space="preserve">.</w:t>
      </w:r>
      <w:r>
        <w:t xml:space="preserve"> </w:t>
      </w:r>
      <w:r>
        <w:t xml:space="preserve">JMIR</w:t>
      </w:r>
      <w:r>
        <w:t xml:space="preserve"> </w:t>
      </w:r>
      <w:r>
        <w:t xml:space="preserve">AI</w:t>
      </w:r>
      <w:r>
        <w:t xml:space="preserve"> </w:t>
      </w:r>
      <w:r>
        <w:t xml:space="preserve">[Internet]. 2023; Available from:</w:t>
      </w:r>
      <w:r>
        <w:t xml:space="preserve"> </w:t>
      </w:r>
      <w:hyperlink r:id="rId293">
        <w:r>
          <w:rPr>
            <w:rStyle w:val="Hyperlink"/>
          </w:rPr>
          <w:t xml:space="preserve">https://ai.jmir.org/2023/1/e44358</w:t>
        </w:r>
      </w:hyperlink>
    </w:p>
    <w:bookmarkEnd w:id="294"/>
    <w:bookmarkStart w:id="296" w:name="ref-sezgin2022"/>
    <w:p>
      <w:pPr>
        <w:pStyle w:val="Bibliography"/>
      </w:pPr>
      <w:r>
        <w:t xml:space="preserve">99.</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5">
        <w:r>
          <w:rPr>
            <w:rStyle w:val="Hyperlink"/>
          </w:rPr>
          <w:t xml:space="preserve">https://medinform.jmir.org/2022/2/e32875</w:t>
        </w:r>
      </w:hyperlink>
    </w:p>
    <w:bookmarkEnd w:id="296"/>
    <w:bookmarkStart w:id="298" w:name="ref-jiao2023"/>
    <w:p>
      <w:pPr>
        <w:pStyle w:val="Bibliography"/>
      </w:pPr>
      <w:r>
        <w:t xml:space="preserve">100.</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97">
        <w:r>
          <w:rPr>
            <w:rStyle w:val="Hyperlink"/>
          </w:rPr>
          <w:t xml:space="preserve">https://ieeexplore.ieee.org/document/10297311</w:t>
        </w:r>
      </w:hyperlink>
    </w:p>
    <w:bookmarkEnd w:id="298"/>
    <w:bookmarkStart w:id="300" w:name="ref-dai2023"/>
    <w:p>
      <w:pPr>
        <w:pStyle w:val="Bibliography"/>
      </w:pPr>
      <w:r>
        <w:t xml:space="preserve">101.</w:t>
      </w:r>
      <w:r>
        <w:t xml:space="preserve"> </w:t>
      </w:r>
      <w:r>
        <w:t xml:space="preserve">	</w:t>
      </w:r>
      <w:r>
        <w:t xml:space="preserve">Dai &amp;A T.</w:t>
      </w:r>
      <w:r>
        <w:t xml:space="preserve"> </w:t>
      </w:r>
      <w:r>
        <w:t xml:space="preserve">Incorporating artificial intelligence into healthcare workflows: Models and insights. In</w:t>
      </w:r>
      <w:r>
        <w:t xml:space="preserve">. Tutorials in Operations Research: Advancing the Frontiers of OR/MS [Internet]. 2023; Available from:</w:t>
      </w:r>
      <w:r>
        <w:t xml:space="preserve"> </w:t>
      </w:r>
      <w:hyperlink r:id="rId299">
        <w:r>
          <w:rPr>
            <w:rStyle w:val="Hyperlink"/>
          </w:rPr>
          <w:t xml:space="preserve">https://pubsonline.informs.org/doi/abs/10.1287/educ.2023.0257</w:t>
        </w:r>
      </w:hyperlink>
    </w:p>
    <w:bookmarkEnd w:id="300"/>
    <w:bookmarkStart w:id="302" w:name="ref-berkshire2024"/>
    <w:p>
      <w:pPr>
        <w:pStyle w:val="Bibliography"/>
      </w:pPr>
      <w:r>
        <w:t xml:space="preserve">102.</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01">
        <w:r>
          <w:rPr>
            <w:rStyle w:val="Hyperlink"/>
          </w:rPr>
          <w:t xml:space="preserve">https://ia.berkshirehealthcare.nhs.uk/citizen-developer-programme</w:t>
        </w:r>
      </w:hyperlink>
    </w:p>
    <w:bookmarkEnd w:id="302"/>
    <w:bookmarkStart w:id="304" w:name="ref-elkamouchi2023"/>
    <w:p>
      <w:pPr>
        <w:pStyle w:val="Bibliography"/>
      </w:pPr>
      <w:r>
        <w:t xml:space="preserve">103.</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03">
        <w:r>
          <w:rPr>
            <w:rStyle w:val="Hyperlink"/>
          </w:rPr>
          <w:t xml:space="preserve">https://ieeexplore.ieee.org/abstract/document/10373712/</w:t>
        </w:r>
      </w:hyperlink>
    </w:p>
    <w:bookmarkEnd w:id="304"/>
    <w:bookmarkStart w:id="306" w:name="ref-aveiro2023"/>
    <w:p>
      <w:pPr>
        <w:pStyle w:val="Bibliography"/>
      </w:pPr>
      <w:r>
        <w:t xml:space="preserve">104.</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05">
        <w:r>
          <w:rPr>
            <w:rStyle w:val="Hyperlink"/>
          </w:rPr>
          <w:t xml:space="preserve">https://ieeexplore.ieee.org/document/10186753</w:t>
        </w:r>
      </w:hyperlink>
    </w:p>
    <w:bookmarkEnd w:id="306"/>
    <w:bookmarkStart w:id="308" w:name="ref-forrester2024"/>
    <w:p>
      <w:pPr>
        <w:pStyle w:val="Bibliography"/>
      </w:pPr>
      <w:r>
        <w:t xml:space="preserve">105.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7">
        <w:r>
          <w:rPr>
            <w:rStyle w:val="Hyperlink"/>
          </w:rPr>
          <w:t xml:space="preserve">https://tei.forrester.com/go/microsoft/powerappstei/?lang=en-us</w:t>
        </w:r>
      </w:hyperlink>
    </w:p>
    <w:bookmarkEnd w:id="308"/>
    <w:bookmarkStart w:id="310" w:name="ref-mogili2025"/>
    <w:p>
      <w:pPr>
        <w:pStyle w:val="Bibliography"/>
      </w:pPr>
      <w:r>
        <w:t xml:space="preserve">106.</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09">
        <w:r>
          <w:rPr>
            <w:rStyle w:val="Hyperlink"/>
          </w:rPr>
          <w:t xml:space="preserve">https://sarcouncil.com/download-article/SJECS-209-_2025-630-636.pdf</w:t>
        </w:r>
      </w:hyperlink>
    </w:p>
    <w:bookmarkEnd w:id="310"/>
    <w:bookmarkStart w:id="312" w:name="ref-pervaiz2025"/>
    <w:p>
      <w:pPr>
        <w:pStyle w:val="Bibliography"/>
      </w:pPr>
      <w:r>
        <w:t xml:space="preserve">107.</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1">
        <w:r>
          <w:rPr>
            <w:rStyle w:val="Hyperlink"/>
          </w:rPr>
          <w:t xml:space="preserve">https://imjstb.com/index.php/Journal/article/view/95</w:t>
        </w:r>
      </w:hyperlink>
    </w:p>
    <w:bookmarkEnd w:id="312"/>
    <w:bookmarkStart w:id="314" w:name="ref-pennington2023"/>
    <w:p>
      <w:pPr>
        <w:pStyle w:val="Bibliography"/>
      </w:pPr>
      <w:r>
        <w:t xml:space="preserve">108.</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3">
        <w:r>
          <w:rPr>
            <w:rStyle w:val="Hyperlink"/>
          </w:rPr>
          <w:t xml:space="preserve">https://mds.marshall.edu/etd/1824/</w:t>
        </w:r>
      </w:hyperlink>
    </w:p>
    <w:bookmarkEnd w:id="314"/>
    <w:bookmarkStart w:id="316" w:name="ref-atobatele2023"/>
    <w:p>
      <w:pPr>
        <w:pStyle w:val="Bibliography"/>
      </w:pPr>
      <w:r>
        <w:t xml:space="preserve">109.</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5">
        <w:r>
          <w:rPr>
            <w:rStyle w:val="Hyperlink"/>
          </w:rPr>
          <w:t xml:space="preserve">https://gisrrj.com/paper/GISRRJ236426.pdf</w:t>
        </w:r>
      </w:hyperlink>
    </w:p>
    <w:bookmarkEnd w:id="316"/>
    <w:bookmarkStart w:id="318" w:name="ref-tan2023"/>
    <w:p>
      <w:pPr>
        <w:pStyle w:val="Bibliography"/>
      </w:pPr>
      <w:r>
        <w:t xml:space="preserve">110.</w:t>
      </w:r>
      <w:r>
        <w:t xml:space="preserve"> </w:t>
      </w:r>
      <w:r>
        <w:t xml:space="preserve">	</w:t>
      </w:r>
      <w:r>
        <w:t xml:space="preserve">Tan T J. P. Y.</w:t>
      </w:r>
      <w:r>
        <w:t xml:space="preserve"> </w:t>
      </w:r>
      <w:r>
        <w:t xml:space="preserve">mHealth app to facilitate remote care for patients with COVID-19: rapid development of the DrCovid+ app</w:t>
      </w:r>
      <w:r>
        <w:t xml:space="preserve">.</w:t>
      </w:r>
      <w:r>
        <w:t xml:space="preserve"> </w:t>
      </w:r>
      <w:r>
        <w:t xml:space="preserve">JMIR</w:t>
      </w:r>
      <w:r>
        <w:t xml:space="preserve"> </w:t>
      </w:r>
      <w:r>
        <w:t xml:space="preserve">Formative Research [Internet]. 2023; Available from:</w:t>
      </w:r>
      <w:r>
        <w:t xml:space="preserve"> </w:t>
      </w:r>
      <w:hyperlink r:id="rId317">
        <w:r>
          <w:rPr>
            <w:rStyle w:val="Hyperlink"/>
          </w:rPr>
          <w:t xml:space="preserve">https://formative.jmir.org/2023/1/e38555</w:t>
        </w:r>
      </w:hyperlink>
    </w:p>
    <w:bookmarkEnd w:id="318"/>
    <w:bookmarkStart w:id="320" w:name="ref-precedence2024"/>
    <w:p>
      <w:pPr>
        <w:pStyle w:val="Bibliography"/>
      </w:pPr>
      <w:r>
        <w:t xml:space="preserve">111.</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9">
        <w:r>
          <w:rPr>
            <w:rStyle w:val="Hyperlink"/>
          </w:rPr>
          <w:t xml:space="preserve">https://www.precedenceresearch.com/healthcare-analytics-market</w:t>
        </w:r>
      </w:hyperlink>
    </w:p>
    <w:bookmarkEnd w:id="320"/>
    <w:bookmarkStart w:id="322" w:name="ref-farnese2019"/>
    <w:p>
      <w:pPr>
        <w:pStyle w:val="Bibliography"/>
      </w:pPr>
      <w:r>
        <w:t xml:space="preserve">112.</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21">
        <w:r>
          <w:rPr>
            <w:rStyle w:val="Hyperlink"/>
          </w:rPr>
          <w:t xml:space="preserve">https://www.frontiersin.org/articles/10.3389/fpsyg.2019.02730</w:t>
        </w:r>
      </w:hyperlink>
    </w:p>
    <w:bookmarkEnd w:id="322"/>
    <w:bookmarkStart w:id="324" w:name="ref-zhang2025"/>
    <w:p>
      <w:pPr>
        <w:pStyle w:val="Bibliography"/>
      </w:pPr>
      <w:r>
        <w:t xml:space="preserve">113.</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23">
        <w:r>
          <w:rPr>
            <w:rStyle w:val="Hyperlink"/>
          </w:rPr>
          <w:t xml:space="preserve">https://www.emerald.com/insight/content/doi/10.1108/JKM-03-2024-0262/full/html</w:t>
        </w:r>
      </w:hyperlink>
    </w:p>
    <w:bookmarkEnd w:id="324"/>
    <w:bookmarkStart w:id="326" w:name="ref-zheng2020"/>
    <w:p>
      <w:pPr>
        <w:pStyle w:val="Bibliography"/>
      </w:pPr>
      <w:r>
        <w:t xml:space="preserve">114.</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5">
        <w:r>
          <w:rPr>
            <w:rStyle w:val="Hyperlink"/>
          </w:rPr>
          <w:t xml:space="preserve">https://www.acpjournals.org/doi/10.7326/M19-0871</w:t>
        </w:r>
      </w:hyperlink>
    </w:p>
    <w:bookmarkEnd w:id="326"/>
    <w:bookmarkStart w:id="328" w:name="ref-bogaert2021"/>
    <w:p>
      <w:pPr>
        <w:pStyle w:val="Bibliography"/>
      </w:pPr>
      <w:r>
        <w:t xml:space="preserve">115.</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7">
        <w:r>
          <w:rPr>
            <w:rStyle w:val="Hyperlink"/>
          </w:rPr>
          <w:t xml:space="preserve">https://www.sciencedirect.com/science/article/pii/S0168851021002396</w:t>
        </w:r>
      </w:hyperlink>
    </w:p>
    <w:bookmarkEnd w:id="328"/>
    <w:bookmarkStart w:id="330" w:name="ref-ibm2022"/>
    <w:p>
      <w:pPr>
        <w:pStyle w:val="Bibliography"/>
      </w:pPr>
      <w:r>
        <w:t xml:space="preserve">116.</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9">
        <w:r>
          <w:rPr>
            <w:rStyle w:val="Hyperlink"/>
          </w:rPr>
          <w:t xml:space="preserve">https://newsroom.ibm.com/2022-01-21-Francisco-Partners-to-Acquire-IBMs-Healthcare-Data-and-Analytics-Assets</w:t>
        </w:r>
      </w:hyperlink>
    </w:p>
    <w:bookmarkEnd w:id="330"/>
    <w:bookmarkStart w:id="332" w:name="ref-strickland2019"/>
    <w:p>
      <w:pPr>
        <w:pStyle w:val="Bibliography"/>
      </w:pPr>
      <w:r>
        <w:t xml:space="preserve">117.</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1">
        <w:r>
          <w:rPr>
            <w:rStyle w:val="Hyperlink"/>
          </w:rPr>
          <w:t xml:space="preserve">https://ieeexplore.ieee.org/abstract/document/8678513/</w:t>
        </w:r>
      </w:hyperlink>
    </w:p>
    <w:bookmarkEnd w:id="332"/>
    <w:bookmarkStart w:id="334" w:name="ref-yang2020"/>
    <w:p>
      <w:pPr>
        <w:pStyle w:val="Bibliography"/>
      </w:pPr>
      <w:r>
        <w:t xml:space="preserve">118.</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3">
        <w:r>
          <w:rPr>
            <w:rStyle w:val="Hyperlink"/>
          </w:rPr>
          <w:t xml:space="preserve">https://oulurepo.oulu.fi/bitstream/handle/10024/27921/nbnfi-fe2020050424858.pdf</w:t>
        </w:r>
      </w:hyperlink>
    </w:p>
    <w:bookmarkEnd w:id="334"/>
    <w:bookmarkStart w:id="336" w:name="ref-lavito2021"/>
    <w:p>
      <w:pPr>
        <w:pStyle w:val="Bibliography"/>
      </w:pPr>
      <w:r>
        <w:t xml:space="preserve">119.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5">
        <w:r>
          <w:rPr>
            <w:rStyle w:val="Hyperlink"/>
          </w:rPr>
          <w:t xml:space="preserve">https://www.cnbc.com/2021/01/04/haven-the-amazon-berkshire-jpmorgan-venture-to-disrupt-healthcare-is-disbanding-after-3-years.html</w:t>
        </w:r>
      </w:hyperlink>
    </w:p>
    <w:bookmarkEnd w:id="336"/>
    <w:bookmarkStart w:id="338" w:name="ref-acchiardo2021"/>
    <w:p>
      <w:pPr>
        <w:pStyle w:val="Bibliography"/>
      </w:pPr>
      <w:r>
        <w:t xml:space="preserve">120.</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7">
        <w:r>
          <w:rPr>
            <w:rStyle w:val="Hyperlink"/>
          </w:rPr>
          <w:t xml:space="preserve">https://www.academicradiology.org/article/S1076-6332(21)00140-9/abstract</w:t>
        </w:r>
      </w:hyperlink>
    </w:p>
    <w:bookmarkEnd w:id="338"/>
    <w:bookmarkStart w:id="340" w:name="ref-ozalp2022"/>
    <w:p>
      <w:pPr>
        <w:pStyle w:val="Bibliography"/>
      </w:pPr>
      <w:r>
        <w:t xml:space="preserve">121.</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9">
        <w:r>
          <w:rPr>
            <w:rStyle w:val="Hyperlink"/>
          </w:rPr>
          <w:t xml:space="preserve">https://journals.sagepub.com/doi/abs/10.1177/00081256221094307</w:t>
        </w:r>
      </w:hyperlink>
    </w:p>
    <w:bookmarkEnd w:id="340"/>
    <w:bookmarkStart w:id="342" w:name="ref-alukal2006"/>
    <w:p>
      <w:pPr>
        <w:pStyle w:val="Bibliography"/>
      </w:pPr>
      <w:r>
        <w:t xml:space="preserve">122.</w:t>
      </w:r>
      <w:r>
        <w:t xml:space="preserve"> </w:t>
      </w:r>
      <w:r>
        <w:t xml:space="preserve">	</w:t>
      </w:r>
      <w:r>
        <w:t xml:space="preserve">Alukal VG, Manos A. Lean kaizen: A simplified approach to process improvement [Internet]. Milwaukee, WI: ASQ Quality Press; 2006. Available from:</w:t>
      </w:r>
      <w:r>
        <w:t xml:space="preserve"> </w:t>
      </w:r>
      <w:hyperlink r:id="rId341">
        <w:r>
          <w:rPr>
            <w:rStyle w:val="Hyperlink"/>
          </w:rPr>
          <w:t xml:space="preserve">https://books.google.com/books?id=9uqiEAAAQBAJ</w:t>
        </w:r>
      </w:hyperlink>
    </w:p>
    <w:bookmarkEnd w:id="342"/>
    <w:bookmarkStart w:id="344" w:name="ref-rao2006"/>
    <w:p>
      <w:pPr>
        <w:pStyle w:val="Bibliography"/>
      </w:pPr>
      <w:r>
        <w:t xml:space="preserve">123.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343">
        <w:r>
          <w:rPr>
            <w:rStyle w:val="Hyperlink"/>
          </w:rPr>
          <w:t xml:space="preserve">https://onlinelibrary.wiley.com/doi/abs/10.1057/palgrave.emr.1500057</w:t>
        </w:r>
      </w:hyperlink>
    </w:p>
    <w:bookmarkEnd w:id="344"/>
    <w:bookmarkStart w:id="346" w:name="ref-hong2025"/>
    <w:p>
      <w:pPr>
        <w:pStyle w:val="Bibliography"/>
      </w:pPr>
      <w:r>
        <w:t xml:space="preserve">124.</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345">
        <w:r>
          <w:rPr>
            <w:rStyle w:val="Hyperlink"/>
          </w:rPr>
          <w:t xml:space="preserve">https://academic.oup.com/jpart/advance-article-abstract/doi/10.1093/jopart/muaf019/8162522</w:t>
        </w:r>
      </w:hyperlink>
    </w:p>
    <w:bookmarkEnd w:id="346"/>
    <w:bookmarkStart w:id="348"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7">
        <w:r>
          <w:rPr>
            <w:rStyle w:val="Hyperlink"/>
          </w:rPr>
          <w:t xml:space="preserve">https://www.quantbeckman.com/api/v1/file/5b240742-bf0d-4f8c-a0f9-cb29fab42611.pdf</w:t>
        </w:r>
      </w:hyperlink>
    </w:p>
    <w:bookmarkEnd w:id="348"/>
    <w:bookmarkStart w:id="350"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9">
        <w:r>
          <w:rPr>
            <w:rStyle w:val="Hyperlink"/>
          </w:rPr>
          <w:t xml:space="preserve">https://mail.vldb.org/archives/website/2005/program/paper/fri/p1006-yu.pdf</w:t>
        </w:r>
      </w:hyperlink>
    </w:p>
    <w:bookmarkEnd w:id="350"/>
    <w:bookmarkStart w:id="352" w:name="ref-whittaker2008"/>
    <w:p>
      <w:pPr>
        <w:pStyle w:val="Bibliography"/>
      </w:pPr>
      <w:r>
        <w:t xml:space="preserve">127.</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128.</w:t>
      </w:r>
      <w:r>
        <w:t xml:space="preserve"> </w:t>
      </w:r>
      <w:r>
        <w:t xml:space="preserve">	</w:t>
      </w:r>
      <w:r>
        <w:t xml:space="preserve">Moore D et al. ActiveNavigator: Toward real-time knowledge capture and feedback in active learning spaces. International Journal of Engineering Education [Internet]. 2018;34(2):307–19. Available from:</w:t>
      </w:r>
      <w:r>
        <w:t xml:space="preserve"> </w:t>
      </w:r>
      <w:hyperlink r:id="rId353">
        <w:r>
          <w:rPr>
            <w:rStyle w:val="Hyperlink"/>
          </w:rPr>
          <w:t xml:space="preserve">https://web.stanford.edu/~xiaog/files/18_ijee3593.pdf</w:t>
        </w:r>
      </w:hyperlink>
    </w:p>
    <w:bookmarkEnd w:id="354"/>
    <w:bookmarkStart w:id="356" w:name="ref-zimmermann2017"/>
    <w:p>
      <w:pPr>
        <w:pStyle w:val="Bibliography"/>
      </w:pPr>
      <w:r>
        <w:t xml:space="preserve">129.</w:t>
      </w:r>
      <w:r>
        <w:t xml:space="preserve"> </w:t>
      </w:r>
      <w:r>
        <w:t xml:space="preserve">	</w:t>
      </w:r>
      <w:r>
        <w:t xml:space="preserve">Zimmermann S, Rentrop C. A multiple case study on the nature and management of shadow IT. Journal of Information Systems [Internet]. 2017;31(1):79–101. Available from:</w:t>
      </w:r>
      <w:r>
        <w:t xml:space="preserve"> </w:t>
      </w:r>
      <w:hyperlink r:id="rId355">
        <w:r>
          <w:rPr>
            <w:rStyle w:val="Hyperlink"/>
          </w:rPr>
          <w:t xml:space="preserve">https://publications.aaahq.org/jis/article-abstract/31/1/79/1070</w:t>
        </w:r>
      </w:hyperlink>
    </w:p>
    <w:bookmarkEnd w:id="356"/>
    <w:bookmarkStart w:id="358" w:name="ref-oliveira2023"/>
    <w:p>
      <w:pPr>
        <w:pStyle w:val="Bibliography"/>
      </w:pPr>
      <w:r>
        <w:t xml:space="preserve">130.</w:t>
      </w:r>
      <w:r>
        <w:t xml:space="preserve"> </w:t>
      </w:r>
      <w:r>
        <w:t xml:space="preserve">	</w:t>
      </w:r>
      <w:r>
        <w:t xml:space="preserve">Oliveira MAP et al. Semantic modelling for enterprise data governance 4.0. arXiv preprint arXiv:231102082 [Internet]. 2023; Available from:</w:t>
      </w:r>
      <w:r>
        <w:t xml:space="preserve"> </w:t>
      </w:r>
      <w:hyperlink r:id="rId357">
        <w:r>
          <w:rPr>
            <w:rStyle w:val="Hyperlink"/>
          </w:rPr>
          <w:t xml:space="preserve">https://arxiv.org/pdf/2311.02082</w:t>
        </w:r>
      </w:hyperlink>
    </w:p>
    <w:bookmarkEnd w:id="358"/>
    <w:bookmarkEnd w:id="359"/>
    <w:bookmarkEnd w:id="360"/>
    <w:bookmarkEnd w:id="361"/>
    <w:bookmarkEnd w:id="3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_rels/footnotes.xml.rels><?xml version="1.0" encoding="UTF-8"?><Relationships xmlns="http://schemas.openxmlformats.org/package/2006/relationships"><Relationship Type="http://schemas.openxmlformats.org/officeDocument/2006/relationships/hyperlink" Id="rId185" Target="https://academic.oup.com/jamia/article-abstract/26/4/294/5308980" TargetMode="External" /><Relationship Type="http://schemas.openxmlformats.org/officeDocument/2006/relationships/hyperlink" Id="rId151" Target="https://academic.oup.com/jamia/article/14/6/687/750453" TargetMode="External" /><Relationship Type="http://schemas.openxmlformats.org/officeDocument/2006/relationships/hyperlink" Id="rId345" Target="https://academic.oup.com/jpart/advance-article-abstract/doi/10.1093/jopart/muaf019/8162522" TargetMode="External" /><Relationship Type="http://schemas.openxmlformats.org/officeDocument/2006/relationships/hyperlink" Id="rId139" Target="https://academic.oup.com/jpubhealth" TargetMode="External" /><Relationship Type="http://schemas.openxmlformats.org/officeDocument/2006/relationships/hyperlink" Id="rId293" Target="https://ai.jmir.org/2023/1/e44358" TargetMode="External" /><Relationship Type="http://schemas.openxmlformats.org/officeDocument/2006/relationships/hyperlink" Id="rId165" Target="https://ai.nejm.org/doi/full/10.1056/AIdbp2500144" TargetMode="External" /><Relationship Type="http://schemas.openxmlformats.org/officeDocument/2006/relationships/hyperlink" Id="rId183" Target="https://al-kindipublisher.com/index.php/jcsts/article/view/9694" TargetMode="External" /><Relationship Type="http://schemas.openxmlformats.org/officeDocument/2006/relationships/hyperlink" Id="rId120" Target="https://api.wittkieffer.com/wp-content/uploads/2012/10/cio-insights-the-state-of-healthcare-it-leadership-wittkieffer-october-2024.pdf" TargetMode="External" /><Relationship Type="http://schemas.openxmlformats.org/officeDocument/2006/relationships/hyperlink" Id="rId173" Target="https://arxiv.org/abs/1908.01839" TargetMode="External" /><Relationship Type="http://schemas.openxmlformats.org/officeDocument/2006/relationships/hyperlink" Id="rId175" Target="https://arxiv.org/abs/2301.07695" TargetMode="External" /><Relationship Type="http://schemas.openxmlformats.org/officeDocument/2006/relationships/hyperlink" Id="rId159" Target="https://arxiv.org/abs/2403.09226" TargetMode="External" /><Relationship Type="http://schemas.openxmlformats.org/officeDocument/2006/relationships/hyperlink" Id="rId177" Target="https://arxiv.org/abs/2411.05521" TargetMode="External" /><Relationship Type="http://schemas.openxmlformats.org/officeDocument/2006/relationships/hyperlink" Id="rId163" Target="https://arxiv.org/abs/2505.08775" TargetMode="External" /><Relationship Type="http://schemas.openxmlformats.org/officeDocument/2006/relationships/hyperlink" Id="rId161" Target="https://arxiv.org/abs/2508.08224" TargetMode="External" /><Relationship Type="http://schemas.openxmlformats.org/officeDocument/2006/relationships/hyperlink" Id="rId189" Target="https://arxiv.org/abs/2511.14718" TargetMode="External" /><Relationship Type="http://schemas.openxmlformats.org/officeDocument/2006/relationships/hyperlink" Id="rId179" Target="https://arxiv.org/abs/2511.17559" TargetMode="External" /><Relationship Type="http://schemas.openxmlformats.org/officeDocument/2006/relationships/hyperlink" Id="rId357" Target="https://arxiv.org/pdf/2311.02082" TargetMode="External" /><Relationship Type="http://schemas.openxmlformats.org/officeDocument/2006/relationships/hyperlink" Id="rId341" Target="https://books.google.com/books?id=9uqiEAAAQBAJ" TargetMode="External" /><Relationship Type="http://schemas.openxmlformats.org/officeDocument/2006/relationships/hyperlink" Id="rId137" Target="https://dl.acm.org/doi/10.1145/1017114.1017118" TargetMode="External" /><Relationship Type="http://schemas.openxmlformats.org/officeDocument/2006/relationships/hyperlink" Id="rId131" Target="https://dl.acm.org/doi/abs/10.1145/320251.320253" TargetMode="External" /><Relationship Type="http://schemas.openxmlformats.org/officeDocument/2006/relationships/hyperlink" Id="rId191" Target="https://dl.acm.org/doi/abs/10.1145/3318464.3389777" TargetMode="External" /><Relationship Type="http://schemas.openxmlformats.org/officeDocument/2006/relationships/hyperlink" Id="rId149" Target="https://doi.org/10.1016/j.ijinfomgt.2003.12.012" TargetMode="External" /><Relationship Type="http://schemas.openxmlformats.org/officeDocument/2006/relationships/hyperlink" Id="rId231" Target="https://doi.org/10.1016/j.ijinfomgt.2018.07.001" TargetMode="External" /><Relationship Type="http://schemas.openxmlformats.org/officeDocument/2006/relationships/hyperlink" Id="rId251" Target="https://doi.org/10.1108/JKM-08-2016-0338" TargetMode="External" /><Relationship Type="http://schemas.openxmlformats.org/officeDocument/2006/relationships/hyperlink" Id="rId157" Target="https://dspace.flinders.edu.au/jspui/bitstream/2328/3326/4/AACODS_Checklist.pdf" TargetMode="External" /><Relationship Type="http://schemas.openxmlformats.org/officeDocument/2006/relationships/hyperlink" Id="rId317" Target="https://formative.jmir.org/2023/1/e38555" TargetMode="External" /><Relationship Type="http://schemas.openxmlformats.org/officeDocument/2006/relationships/hyperlink" Id="rId315" Target="https://gisrrj.com/paper/GISRRJ236426.pdf" TargetMode="External" /><Relationship Type="http://schemas.openxmlformats.org/officeDocument/2006/relationships/hyperlink" Id="rId261" Target="https://human-resources-health.biomedcentral.com/articles/10.1186/1478-4491-11-35" TargetMode="External" /><Relationship Type="http://schemas.openxmlformats.org/officeDocument/2006/relationships/hyperlink" Id="rId273" Target="https://human-resources-health.biomedcentral.com/articles/10.1186/s12960-019-0432-y" TargetMode="External" /><Relationship Type="http://schemas.openxmlformats.org/officeDocument/2006/relationships/hyperlink" Id="rId301" Target="https://ia.berkshirehealthcare.nhs.uk/citizen-developer-programme" TargetMode="External" /><Relationship Type="http://schemas.openxmlformats.org/officeDocument/2006/relationships/hyperlink" Id="rId303" Target="https://ieeexplore.ieee.org/abstract/document/10373712/" TargetMode="External" /><Relationship Type="http://schemas.openxmlformats.org/officeDocument/2006/relationships/hyperlink" Id="rId331" Target="https://ieeexplore.ieee.org/abstract/document/8678513/" TargetMode="External" /><Relationship Type="http://schemas.openxmlformats.org/officeDocument/2006/relationships/hyperlink" Id="rId305" Target="https://ieeexplore.ieee.org/document/10186753" TargetMode="External" /><Relationship Type="http://schemas.openxmlformats.org/officeDocument/2006/relationships/hyperlink" Id="rId297" Target="https://ieeexplore.ieee.org/document/10297311" TargetMode="External" /><Relationship Type="http://schemas.openxmlformats.org/officeDocument/2006/relationships/hyperlink" Id="rId311" Target="https://imjstb.com/index.php/Journal/article/view/95" TargetMode="External" /><Relationship Type="http://schemas.openxmlformats.org/officeDocument/2006/relationships/hyperlink" Id="rId141" Target="https://jamanetwork.com/journals/jamainternalmedicine/fullarticle/2809588" TargetMode="External" /><Relationship Type="http://schemas.openxmlformats.org/officeDocument/2006/relationships/hyperlink" Id="rId257" Target="https://jamanetwork.com/journals/jamanetworkopen/fullarticle/2784810" TargetMode="External" /><Relationship Type="http://schemas.openxmlformats.org/officeDocument/2006/relationships/hyperlink" Id="rId287" Target="https://journalofbigdata.springeropen.com/articles/10.1186/s40537-019-0170-y" TargetMode="External" /><Relationship Type="http://schemas.openxmlformats.org/officeDocument/2006/relationships/hyperlink" Id="rId253" Target="https://journals.lww.com/jonajournal/abstract/2005/01000/the_costs_of_nurse_turnover__part_2__application.14.aspx" TargetMode="External" /><Relationship Type="http://schemas.openxmlformats.org/officeDocument/2006/relationships/hyperlink" Id="rId339" Target="https://journals.sagepub.com/doi/abs/10.1177/00081256221094307" TargetMode="External" /><Relationship Type="http://schemas.openxmlformats.org/officeDocument/2006/relationships/hyperlink" Id="rId211" Target="https://journals.sagepub.com/doi/full/10.1177/23743735241253785" TargetMode="External" /><Relationship Type="http://schemas.openxmlformats.org/officeDocument/2006/relationships/hyperlink" Id="rId203" Target="https://legacy.himss.org/news/new-analytics-maturity-adoption-model-pushes-digital-transformation-and-data-driven-decisions" TargetMode="External" /><Relationship Type="http://schemas.openxmlformats.org/officeDocument/2006/relationships/hyperlink" Id="rId199" Target="https://link.springer.com/article/10.1007/s10489-023-04567-2" TargetMode="External" /><Relationship Type="http://schemas.openxmlformats.org/officeDocument/2006/relationships/hyperlink" Id="rId147" Target="https://link.springer.com/article/10.1007/s10916-011-9656-7" TargetMode="External" /><Relationship Type="http://schemas.openxmlformats.org/officeDocument/2006/relationships/hyperlink" Id="rId229" Target="https://link.springer.com/article/10.1007/s10916-020-01665-9" TargetMode="External" /><Relationship Type="http://schemas.openxmlformats.org/officeDocument/2006/relationships/hyperlink" Id="rId155" Target="https://link.springer.com/content/pdf/10.1007/s10462-022-10246-w.pdf" TargetMode="External" /><Relationship Type="http://schemas.openxmlformats.org/officeDocument/2006/relationships/hyperlink" Id="rId349" Target="https://mail.vldb.org/archives/website/2005/program/paper/fri/p1006-yu.pdf" TargetMode="External" /><Relationship Type="http://schemas.openxmlformats.org/officeDocument/2006/relationships/hyperlink" Id="rId313" Target="https://mds.marshall.edu/etd/1824/" TargetMode="External" /><Relationship Type="http://schemas.openxmlformats.org/officeDocument/2006/relationships/hyperlink" Id="rId195" Target="https://medinform.jmir.org/2019/2/e13331" TargetMode="External" /><Relationship Type="http://schemas.openxmlformats.org/officeDocument/2006/relationships/hyperlink" Id="rId295" Target="https://medinform.jmir.org/2022/2/e32875" TargetMode="External" /><Relationship Type="http://schemas.openxmlformats.org/officeDocument/2006/relationships/hyperlink" Id="rId329" Target="https://newsroom.ibm.com/2022-01-21-Francisco-Partners-to-Acquire-IBMs-Healthcare-Data-and-Analytics-Assets" TargetMode="External" /><Relationship Type="http://schemas.openxmlformats.org/officeDocument/2006/relationships/hyperlink" Id="rId343" Target="https://onlinelibrary.wiley.com/doi/abs/10.1057/palgrave.emr.1500057" TargetMode="External" /><Relationship Type="http://schemas.openxmlformats.org/officeDocument/2006/relationships/hyperlink" Id="rId213" Target="https://onlinelibrary.wiley.com/doi/abs/10.1111/1467-8551.12332" TargetMode="External" /><Relationship Type="http://schemas.openxmlformats.org/officeDocument/2006/relationships/hyperlink" Id="rId279" Target="https://onlinelibrary.wiley.com/doi/abs/10.1111/j.1540-5885.2010.00798.x" TargetMode="External" /><Relationship Type="http://schemas.openxmlformats.org/officeDocument/2006/relationships/hyperlink" Id="rId271" Target="https://onlinelibrary.wiley.com/doi/abs/10.1111/j.1547-5069.2009.01319.x" TargetMode="External" /><Relationship Type="http://schemas.openxmlformats.org/officeDocument/2006/relationships/hyperlink" Id="rId333" Target="https://oulurepo.oulu.fi/bitstream/handle/10024/27921/nbnfi-fe2020050424858.pdf" TargetMode="External" /><Relationship Type="http://schemas.openxmlformats.org/officeDocument/2006/relationships/hyperlink" Id="rId135" Target="https://papers.ssrn.com/sol3/papers.cfm?abstract_id=5268176" TargetMode="External" /><Relationship Type="http://schemas.openxmlformats.org/officeDocument/2006/relationships/hyperlink" Id="rId265" Target="https://pmc.ncbi.nlm.nih.gov/articles/PMC10243608/" TargetMode="External" /><Relationship Type="http://schemas.openxmlformats.org/officeDocument/2006/relationships/hyperlink" Id="rId247" Target="https://pmc.ncbi.nlm.nih.gov/articles/PMC10802134/" TargetMode="External" /><Relationship Type="http://schemas.openxmlformats.org/officeDocument/2006/relationships/hyperlink" Id="rId249" Target="https://pmc.ncbi.nlm.nih.gov/articles/PMC11919231/" TargetMode="External" /><Relationship Type="http://schemas.openxmlformats.org/officeDocument/2006/relationships/hyperlink" Id="rId355" Target="https://publications.aaahq.org/jis/article-abstract/31/1/79/1070" TargetMode="External" /><Relationship Type="http://schemas.openxmlformats.org/officeDocument/2006/relationships/hyperlink" Id="rId145" Target="https://publishing.emanresearch.org/index.php/bej/article/view/1136" TargetMode="External" /><Relationship Type="http://schemas.openxmlformats.org/officeDocument/2006/relationships/hyperlink" Id="rId263" Target="https://pubmed.ncbi.nlm.nih.gov/20054502/" TargetMode="External" /><Relationship Type="http://schemas.openxmlformats.org/officeDocument/2006/relationships/hyperlink" Id="rId299" Target="https://pubsonline.informs.org/doi/abs/10.1287/educ.2023.0257" TargetMode="External" /><Relationship Type="http://schemas.openxmlformats.org/officeDocument/2006/relationships/hyperlink" Id="rId129" Target="https://resources.anthropic.com/code-modernization-playbook" TargetMode="External" /><Relationship Type="http://schemas.openxmlformats.org/officeDocument/2006/relationships/hyperlink" Id="rId201" Target="https://sarcouncil.com/2025/06/ai-driven-mainframe-modernization-unlocking-legacy-data-for-cloud-analytics" TargetMode="External" /><Relationship Type="http://schemas.openxmlformats.org/officeDocument/2006/relationships/hyperlink" Id="rId309" Target="https://sarcouncil.com/download-article/SJECS-209-_2025-630-636.pdf" TargetMode="External" /><Relationship Type="http://schemas.openxmlformats.org/officeDocument/2006/relationships/hyperlink" Id="rId219" Target="https://scholarworks.waldenu.edu/cgi/viewcontent.cgi?article=12395&amp;context=dissertations" TargetMode="External" /><Relationship Type="http://schemas.openxmlformats.org/officeDocument/2006/relationships/hyperlink" Id="rId307" Target="https://tei.forrester.com/go/microsoft/powerappstei/?lang=en-us" TargetMode="External" /><Relationship Type="http://schemas.openxmlformats.org/officeDocument/2006/relationships/hyperlink" Id="rId353" Target="https://web.stanford.edu/~xiaog/file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7" Target="https://www.academicradiology.org/article/S1076-6332(21)00140-9/abstract" TargetMode="External" /><Relationship Type="http://schemas.openxmlformats.org/officeDocument/2006/relationships/hyperlink" Id="rId325" Target="https://www.acpjournals.org/doi/10.7326/M19-0871" TargetMode="External" /><Relationship Type="http://schemas.openxmlformats.org/officeDocument/2006/relationships/hyperlink" Id="rId114" Target="https://www.ahima.org/news-publications/press-room-press-releases/2023-press-releases/health-information-workforce-shortages-persist-as-ai-shows-promise-ahima-survey-reveals/" TargetMode="External" /><Relationship Type="http://schemas.openxmlformats.org/officeDocument/2006/relationships/hyperlink" Id="rId133" Target="https://www.allmultidisciplinaryjournal.com/uploads/archives/20250306182550_MGE-2025-2-018.1.pdf" TargetMode="External" /><Relationship Type="http://schemas.openxmlformats.org/officeDocument/2006/relationships/hyperlink" Id="rId255" Target="https://www.annfammed.org/content/17/1/36" TargetMode="External" /><Relationship Type="http://schemas.openxmlformats.org/officeDocument/2006/relationships/hyperlink" Id="rId335" Target="https://www.cnbc.com/2021/01/04/haven-the-amazon-berkshire-jpmorgan-venture-to-disrupt-healthcare-is-disbanding-after-3-years.html" TargetMode="External" /><Relationship Type="http://schemas.openxmlformats.org/officeDocument/2006/relationships/hyperlink" Id="rId267" Target="https://www.diva-portal.org/smash/record.jsf?pid=diva2:1684142" TargetMode="External" /><Relationship Type="http://schemas.openxmlformats.org/officeDocument/2006/relationships/hyperlink" Id="rId275" Target="https://www.emerald.com/insight/content/doi/10.1108/13660750510611198/full/html" TargetMode="External" /><Relationship Type="http://schemas.openxmlformats.org/officeDocument/2006/relationships/hyperlink" Id="rId281" Target="https://www.emerald.com/insight/content/doi/10.1108/13673270610650067/full/html" TargetMode="External" /><Relationship Type="http://schemas.openxmlformats.org/officeDocument/2006/relationships/hyperlink" Id="rId323" Target="https://www.emerald.com/insight/content/doi/10.1108/JKM-03-2024-0262/full/html" TargetMode="External" /><Relationship Type="http://schemas.openxmlformats.org/officeDocument/2006/relationships/hyperlink" Id="rId197" Target="https://www.frontiersin.org/articles/10.3389/fdata.2024.1371680" TargetMode="External" /><Relationship Type="http://schemas.openxmlformats.org/officeDocument/2006/relationships/hyperlink" Id="rId321" Target="https://www.frontiersin.org/articles/10.3389/fpsyg.2019.02730" TargetMode="External" /><Relationship Type="http://schemas.openxmlformats.org/officeDocument/2006/relationships/hyperlink" Id="rId227" Target="https://www.health.org.uk/publications/understanding-analytical-capability-in-health-care" TargetMode="External" /><Relationship Type="http://schemas.openxmlformats.org/officeDocument/2006/relationships/hyperlink" Id="rId118" Target="https://www.healthcareitnews.com/news/asia/himss-launches-modernised-analytics-maturity-assessment-model" TargetMode="External" /><Relationship Type="http://schemas.openxmlformats.org/officeDocument/2006/relationships/hyperlink" Id="rId225" Target="https://www.healthcatalyst.com/learn/insights/healthcare-analytics-adoption-model-roadmap-analytic-maturity" TargetMode="External" /><Relationship Type="http://schemas.openxmlformats.org/officeDocument/2006/relationships/hyperlink" Id="rId116" Target="https://www.himss.org/maturity-models/amam/" TargetMode="External" /><Relationship Type="http://schemas.openxmlformats.org/officeDocument/2006/relationships/hyperlink" Id="rId122" Target="https://www.himss.org/resources/the-future-of-workforce/" TargetMode="External" /><Relationship Type="http://schemas.openxmlformats.org/officeDocument/2006/relationships/hyperlink" Id="rId285" Target="https://www.inderscienceonline.com/doi/abs/10.1504/IJNKM.2006.009880" TargetMode="External" /><Relationship Type="http://schemas.openxmlformats.org/officeDocument/2006/relationships/hyperlink" Id="rId143" Target="https://www.ingentaconnect.com/content/hsp/mih/2024/00000008/00000004/art00006" TargetMode="External" /><Relationship Type="http://schemas.openxmlformats.org/officeDocument/2006/relationships/hyperlink" Id="rId289" Target="https://www.jmir.org/2020/10/e20346/" TargetMode="External" /><Relationship Type="http://schemas.openxmlformats.org/officeDocument/2006/relationships/hyperlink" Id="rId209" Target="https://www.jmir.org/2024/1/e56316" TargetMode="External" /><Relationship Type="http://schemas.openxmlformats.org/officeDocument/2006/relationships/hyperlink" Id="rId269" Target="https://www.mdpi.com/1660-4601/17/12/4267" TargetMode="External" /><Relationship Type="http://schemas.openxmlformats.org/officeDocument/2006/relationships/hyperlink" Id="rId215" Target="https://www.mdpi.com/2227-9032/13/1/1" TargetMode="External" /><Relationship Type="http://schemas.openxmlformats.org/officeDocument/2006/relationships/hyperlink" Id="rId169" Target="https://www.mdpi.com/2504-2289/9/10/256" TargetMode="External" /><Relationship Type="http://schemas.openxmlformats.org/officeDocument/2006/relationships/hyperlink" Id="rId221" Target="https://www.nature.com/articles/s41746-019-0118-9" TargetMode="External" /><Relationship Type="http://schemas.openxmlformats.org/officeDocument/2006/relationships/hyperlink" Id="rId167" Target="https://www.nature.com/articles/s41746-024-01390-4" TargetMode="External" /><Relationship Type="http://schemas.openxmlformats.org/officeDocument/2006/relationships/hyperlink" Id="rId124" Target="https://www.nsinursingsolutions.com/documents/library/nsi_national_health_care_retention_report.pdf" TargetMode="External" /><Relationship Type="http://schemas.openxmlformats.org/officeDocument/2006/relationships/hyperlink" Id="rId126" Target="https://www.nyulawreview.org/issues/volume-94-number-4/data-standardization/" TargetMode="External" /><Relationship Type="http://schemas.openxmlformats.org/officeDocument/2006/relationships/hyperlink" Id="rId259" Target="https://www.oracle.com/human-capital-management/cost-employee-turnover-healthcare/" TargetMode="External" /><Relationship Type="http://schemas.openxmlformats.org/officeDocument/2006/relationships/hyperlink" Id="rId319" Target="https://www.precedenceresearch.com/healthcare-analytics-market" TargetMode="External" /><Relationship Type="http://schemas.openxmlformats.org/officeDocument/2006/relationships/hyperlink" Id="rId347" Target="https://www.quantbeckman.com/api/v1/file/5b240742-bf0d-4f8c-a0f9-cb29fab42611.pdf" TargetMode="External" /><Relationship Type="http://schemas.openxmlformats.org/officeDocument/2006/relationships/hyperlink" Id="rId277" Target="https://www.redjournal.org/article/S0360-3016(16)00260-1/fulltext" TargetMode="External" /><Relationship Type="http://schemas.openxmlformats.org/officeDocument/2006/relationships/hyperlink" Id="rId207" Target="https://www.sciencedirect.com/science/article/abs/pii/S0148296316304891" TargetMode="External" /><Relationship Type="http://schemas.openxmlformats.org/officeDocument/2006/relationships/hyperlink" Id="rId181" Target="https://www.sciencedirect.com/science/article/pii/S0031320324008197" TargetMode="External" /><Relationship Type="http://schemas.openxmlformats.org/officeDocument/2006/relationships/hyperlink" Id="rId205" Target="https://www.sciencedirect.com/science/article/pii/S0040162515003692" TargetMode="External" /><Relationship Type="http://schemas.openxmlformats.org/officeDocument/2006/relationships/hyperlink" Id="rId327" Target="https://www.sciencedirect.com/science/article/pii/S0168851021002396" TargetMode="External" /><Relationship Type="http://schemas.openxmlformats.org/officeDocument/2006/relationships/hyperlink" Id="rId291" Target="https://www.sciencedirect.com/science/article/pii/S1386505623001296" TargetMode="External" /><Relationship Type="http://schemas.openxmlformats.org/officeDocument/2006/relationships/hyperlink" Id="rId171" Target="https://www.sciencedirect.com/science/article/pii/S1386505623001405" TargetMode="External" /><Relationship Type="http://schemas.openxmlformats.org/officeDocument/2006/relationships/hyperlink" Id="rId217" Target="https://www.sciencedirect.com/science/article/pii/S1386505624001916" TargetMode="External" /><Relationship Type="http://schemas.openxmlformats.org/officeDocument/2006/relationships/hyperlink" Id="rId193" Target="https://www.sciencedirect.com/science/article/pii/S1532046414001592" TargetMode="External" /><Relationship Type="http://schemas.openxmlformats.org/officeDocument/2006/relationships/hyperlink" Id="rId187" Target="https://www.sciencedirect.com/science/article/pii/S1532046424000650" TargetMode="External" /><Relationship Type="http://schemas.openxmlformats.org/officeDocument/2006/relationships/hyperlink" Id="rId283" Target="https://www.tandfonline.com/doi/abs/10.1080/08956308.2010.11657637" TargetMode="External" /><Relationship Type="http://schemas.openxmlformats.org/officeDocument/2006/relationships/hyperlink" Id="rId223" Target="https://www.tandfonline.com/doi/full/10.1080/20479700.2018.1531606" TargetMode="External" /><Relationship Type="http://schemas.openxmlformats.org/officeDocument/2006/relationships/hyperlink" Id="rId153" Target="https://www.tdx.cat/bitstream/handle/10803/695722/TGJBR1de1.pdf?sequenc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Dynamics, and Technical Barriers</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2026-01-04T21:56:57Z</dcterms:created>
  <dcterms:modified xsi:type="dcterms:W3CDTF">2026-01-04T21:56:57Z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that form a compounding cycle: low analytics maturity (only 39 organizations globally have achieved HIMSS AMAM Stage 6-7), systemic instability characterized by high leadership turnover (53% of CIOs with &lt;3 years tenure) and persistent digital skills shortages reported by 79% of providers, and technical barriers in natural language to SQL generation. When these challenges interact, they create institutional memory loss that threatens data-driven healthcare transformation.Objective: This research develops a three-pillar analytical framework connecting healthcare analytics maturity gaps, workforce turnover, and technical barriers to data access. The framework reveals how these challenges interconnect and compound each other.Methods: We conducted a narrative literature review of peer-reviewed studies and industry reports on natural language to SQL generation, healthcare analytics maturity, and workforce turnover. Grey literature sources were assessed using the AACODS checklist. Evidence was synthesized through a three-pillar analytical framework examining how these challenges interconnect and compound each other.Results: Healthcare-specific text-to-SQL benchmarks (EHRSQL, SM3-Text-to-Query)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three-pillar framework reveals compounding dynamics: organizations at low maturity stages experience higher turnover, turnover degrades institutional knowledge needed for maturity advancement, and technical barriers prevent capturing expertise before it is lost.Conclusions: We contribute a three-pillar analytical framework synthesizing evidence on healthcare analytics maturity, workforce dynamics, and technical barriers. The framework reveals compounding effects: low maturity accelerates turnover, turnover degrades maturity, and technical barriers prevent recovery. This analytical lens enables organizational self-assessment and informs future research on technology interventions, including conversational AI platforms as one potential application.</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NL2SQL in Healthcare</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1.20.0</vt:lpwstr>
  </property>
</Properties>
</file>