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Arial" w:cs="Arial" w:eastAsia="Arial" w:hAnsi="Arial"/>
          <w:b/>
          <w:bCs/>
          <w:color w:val="2E7D32"/>
          <w:sz w:val="52"/>
          <w:szCs w:val="52"/>
        </w:rPr>
        <w:t xml:space="preserve">Stakeholder Analysis</w:t>
      </w:r>
    </w:p>
    <w:p>
      <w:pPr>
        <w:spacing w:after="40" w:before="0"/>
        <w:jc w:val="left"/>
      </w:pPr>
      <w:r>
        <w:rPr>
          <w:rFonts w:ascii="Arial" w:cs="Arial" w:eastAsia="Arial" w:hAnsi="Arial"/>
          <w:color w:val="555555"/>
          <w:sz w:val="22"/>
          <w:szCs w:val="22"/>
        </w:rPr>
        <w:t xml:space="preserve">Adventure Works — Sales Data Analysis Project</w:t>
      </w:r>
    </w:p>
    <w:p>
      <w:pPr>
        <w:spacing w:after="0" w:before="0"/>
        <w:jc w:val="left"/>
      </w:pPr>
      <w:r>
        <w:rPr>
          <w:rFonts w:ascii="Arial" w:cs="Arial" w:eastAsia="Arial" w:hAnsi="Arial"/>
          <w:color w:val="AAAAAA"/>
          <w:sz w:val="19"/>
          <w:szCs w:val="19"/>
        </w:rPr>
        <w:t xml:space="preserve">Prepared by: Data Analyst  |  April 2026</w:t>
      </w:r>
    </w:p>
    <w:p>
      <w:pPr>
        <w:pBdr>
          <w:bottom w:val="single" w:color="2E7D32" w:sz="4" w:space="1"/>
        </w:pBdr>
        <w:spacing w:after="180" w:before="180"/>
      </w:pPr>
    </w:p>
    <w:p>
      <w:pPr>
        <w:spacing w:after="120" w:before="320"/>
      </w:pPr>
      <w:r>
        <w:rPr>
          <w:rFonts w:ascii="Arial" w:cs="Arial" w:eastAsia="Arial" w:hAnsi="Arial"/>
          <w:b/>
          <w:bCs/>
          <w:color w:val="2E7D32"/>
          <w:sz w:val="34"/>
          <w:szCs w:val="34"/>
        </w:rPr>
        <w:t xml:space="preserve">1. Business Context</w:t>
      </w:r>
    </w:p>
    <w:p>
      <w:pPr>
        <w:spacing w:after="60" w:before="60"/>
      </w:pPr>
      <w:r>
        <w:rPr>
          <w:rFonts w:ascii="Arial" w:cs="Arial" w:eastAsia="Arial" w:hAnsi="Arial"/>
          <w:b w:val="false"/>
          <w:bCs w:val="false"/>
          <w:color w:val="212121"/>
          <w:sz w:val="20"/>
          <w:szCs w:val="20"/>
        </w:rPr>
        <w:t xml:space="preserve">Adventure Works manufactures and distributes bicycles and accessories across global markets. The company is facing competitive pressure that has eroded its market share. The marketing director has commissioned a sales data analysis to identify customer preferences, buying patterns, and trends — with the goal of designing targeted campaigns to retain existing customers and attract new ones.</w:t>
      </w:r>
    </w:p>
    <w:p>
      <w:pPr>
        <w:spacing w:after="80" w:before="80"/>
      </w:pPr>
    </w:p>
    <w:p>
      <w:pPr>
        <w:spacing w:after="60" w:before="60"/>
      </w:pPr>
      <w:r>
        <w:rPr>
          <w:rFonts w:ascii="Arial" w:cs="Arial" w:eastAsia="Arial" w:hAnsi="Arial"/>
          <w:b w:val="false"/>
          <w:bCs w:val="false"/>
          <w:color w:val="212121"/>
          <w:sz w:val="20"/>
          <w:szCs w:val="20"/>
        </w:rPr>
        <w:t xml:space="preserve">The analyst's objective is to translate sales data into actionable marketing intelligence. Before any data work begins, the relevant stakeholders must be identified and consulted to ensure the analysis is aligned to real business needs.</w:t>
      </w:r>
    </w:p>
    <w:p>
      <w:pPr>
        <w:pBdr>
          <w:bottom w:val="single" w:color="2E7D32" w:sz="4" w:space="1"/>
        </w:pBdr>
        <w:spacing w:after="180" w:before="180"/>
      </w:pPr>
    </w:p>
    <w:p>
      <w:pPr>
        <w:spacing w:after="120" w:before="320"/>
      </w:pPr>
      <w:r>
        <w:rPr>
          <w:rFonts w:ascii="Arial" w:cs="Arial" w:eastAsia="Arial" w:hAnsi="Arial"/>
          <w:b/>
          <w:bCs/>
          <w:color w:val="2E7D32"/>
          <w:sz w:val="34"/>
          <w:szCs w:val="34"/>
        </w:rPr>
        <w:t xml:space="preserve">2. Key Stakeholders</w:t>
      </w:r>
    </w:p>
    <w:p>
      <w:pPr>
        <w:spacing w:after="60" w:before="60"/>
      </w:pPr>
      <w:r>
        <w:rPr>
          <w:rFonts w:ascii="Arial" w:cs="Arial" w:eastAsia="Arial" w:hAnsi="Arial"/>
          <w:b w:val="false"/>
          <w:bCs w:val="false"/>
          <w:color w:val="212121"/>
          <w:sz w:val="20"/>
          <w:szCs w:val="20"/>
        </w:rPr>
        <w:t xml:space="preserve">Five stakeholders were selected based on their direct relevance to the project's sales and marketing focus. Each was evaluated against two dimensions: influence (their ability to shape the project or act on its findings) and interest (how directly the outcomes affect their area of responsibility).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1480"/>
        <w:gridCol w:w="1480"/>
      </w:tblGrid>
      <w:tr>
        <w:tc>
          <w:tcPr>
            <w:tcW w:type="dxa" w:w="26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Stakeholder</w:t>
            </w:r>
          </w:p>
        </w:tc>
        <w:tc>
          <w:tcPr>
            <w:tcW w:type="dxa" w:w="38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Reason for Selection</w:t>
            </w:r>
          </w:p>
        </w:tc>
        <w:tc>
          <w:tcPr>
            <w:tcW w:type="dxa" w:w="148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Influence</w:t>
            </w:r>
          </w:p>
        </w:tc>
        <w:tc>
          <w:tcPr>
            <w:tcW w:type="dxa" w:w="148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Interest</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bCs/>
                <w:color w:val="2E7D32"/>
                <w:sz w:val="19"/>
                <w:szCs w:val="19"/>
              </w:rPr>
              <w:t xml:space="preserve">Renee — Marketing Director</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212121"/>
                <w:sz w:val="19"/>
                <w:szCs w:val="19"/>
              </w:rPr>
              <w:t xml:space="preserve">Project owner. Defines success criteria and will action campaign strategy from findings.</w:t>
            </w:r>
          </w:p>
        </w:tc>
        <w:tc>
          <w:tcPr>
            <w:tcW w:type="dxa" w:w="1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center"/>
            </w:pPr>
            <w:r>
              <w:rPr>
                <w:rFonts w:ascii="Arial" w:cs="Arial" w:eastAsia="Arial" w:hAnsi="Arial"/>
                <w:b/>
                <w:bCs/>
                <w:color w:val="C62828"/>
                <w:sz w:val="19"/>
                <w:szCs w:val="19"/>
              </w:rPr>
              <w:t xml:space="preserve">High</w:t>
            </w:r>
          </w:p>
        </w:tc>
        <w:tc>
          <w:tcPr>
            <w:tcW w:type="dxa" w:w="1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center"/>
            </w:pPr>
            <w:r>
              <w:rPr>
                <w:rFonts w:ascii="Arial" w:cs="Arial" w:eastAsia="Arial" w:hAnsi="Arial"/>
                <w:b/>
                <w:bCs/>
                <w:color w:val="C62828"/>
                <w:sz w:val="19"/>
                <w:szCs w:val="19"/>
              </w:rPr>
              <w:t xml:space="preserve">High</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bCs/>
                <w:color w:val="2E7D32"/>
                <w:sz w:val="19"/>
                <w:szCs w:val="19"/>
              </w:rPr>
              <w:t xml:space="preserve">Kane — Sales Manager</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212121"/>
                <w:sz w:val="19"/>
                <w:szCs w:val="19"/>
              </w:rPr>
              <w:t xml:space="preserve">Closest to sales data and team performance. Key source of ground-level context.</w:t>
            </w:r>
          </w:p>
        </w:tc>
        <w:tc>
          <w:tcPr>
            <w:tcW w:type="dxa" w:w="1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center"/>
            </w:pPr>
            <w:r>
              <w:rPr>
                <w:rFonts w:ascii="Arial" w:cs="Arial" w:eastAsia="Arial" w:hAnsi="Arial"/>
                <w:b/>
                <w:bCs/>
                <w:color w:val="C62828"/>
                <w:sz w:val="19"/>
                <w:szCs w:val="19"/>
              </w:rPr>
              <w:t xml:space="preserve">High</w:t>
            </w:r>
          </w:p>
        </w:tc>
        <w:tc>
          <w:tcPr>
            <w:tcW w:type="dxa" w:w="1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center"/>
            </w:pPr>
            <w:r>
              <w:rPr>
                <w:rFonts w:ascii="Arial" w:cs="Arial" w:eastAsia="Arial" w:hAnsi="Arial"/>
                <w:b/>
                <w:bCs/>
                <w:color w:val="C62828"/>
                <w:sz w:val="19"/>
                <w:szCs w:val="19"/>
              </w:rPr>
              <w:t xml:space="preserve">High</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bCs/>
                <w:color w:val="2E7D32"/>
                <w:sz w:val="19"/>
                <w:szCs w:val="19"/>
              </w:rPr>
              <w:t xml:space="preserve">Ricci — Customer Service Manager</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212121"/>
                <w:sz w:val="19"/>
                <w:szCs w:val="19"/>
              </w:rPr>
              <w:t xml:space="preserve">Holds qualitative customer insight — complaints, loyalty signals, unmet needs.</w:t>
            </w:r>
          </w:p>
        </w:tc>
        <w:tc>
          <w:tcPr>
            <w:tcW w:type="dxa" w:w="1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center"/>
            </w:pPr>
            <w:r>
              <w:rPr>
                <w:rFonts w:ascii="Arial" w:cs="Arial" w:eastAsia="Arial" w:hAnsi="Arial"/>
                <w:b/>
                <w:bCs/>
                <w:color w:val="E65100"/>
                <w:sz w:val="19"/>
                <w:szCs w:val="19"/>
              </w:rPr>
              <w:t xml:space="preserve">Medium</w:t>
            </w:r>
          </w:p>
        </w:tc>
        <w:tc>
          <w:tcPr>
            <w:tcW w:type="dxa" w:w="1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center"/>
            </w:pPr>
            <w:r>
              <w:rPr>
                <w:rFonts w:ascii="Arial" w:cs="Arial" w:eastAsia="Arial" w:hAnsi="Arial"/>
                <w:b/>
                <w:bCs/>
                <w:color w:val="C62828"/>
                <w:sz w:val="19"/>
                <w:szCs w:val="19"/>
              </w:rPr>
              <w:t xml:space="preserve">High</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bCs/>
                <w:color w:val="2E7D32"/>
                <w:sz w:val="19"/>
                <w:szCs w:val="19"/>
              </w:rPr>
              <w:t xml:space="preserve">Igor — Finance Manager</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212121"/>
                <w:sz w:val="19"/>
                <w:szCs w:val="19"/>
              </w:rPr>
              <w:t xml:space="preserve">Provides profitability context and validates financial feasibility of campaign recommendations.</w:t>
            </w:r>
          </w:p>
        </w:tc>
        <w:tc>
          <w:tcPr>
            <w:tcW w:type="dxa" w:w="1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center"/>
            </w:pPr>
            <w:r>
              <w:rPr>
                <w:rFonts w:ascii="Arial" w:cs="Arial" w:eastAsia="Arial" w:hAnsi="Arial"/>
                <w:b/>
                <w:bCs/>
                <w:color w:val="E65100"/>
                <w:sz w:val="19"/>
                <w:szCs w:val="19"/>
              </w:rPr>
              <w:t xml:space="preserve">Medium</w:t>
            </w:r>
          </w:p>
        </w:tc>
        <w:tc>
          <w:tcPr>
            <w:tcW w:type="dxa" w:w="1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center"/>
            </w:pPr>
            <w:r>
              <w:rPr>
                <w:rFonts w:ascii="Arial" w:cs="Arial" w:eastAsia="Arial" w:hAnsi="Arial"/>
                <w:b/>
                <w:bCs/>
                <w:color w:val="E65100"/>
                <w:sz w:val="19"/>
                <w:szCs w:val="19"/>
              </w:rPr>
              <w:t xml:space="preserve">Medium</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bCs/>
                <w:color w:val="2E7D32"/>
                <w:sz w:val="19"/>
                <w:szCs w:val="19"/>
              </w:rPr>
              <w:t xml:space="preserve">Jane — IT Manager</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212121"/>
                <w:sz w:val="19"/>
                <w:szCs w:val="19"/>
              </w:rPr>
              <w:t xml:space="preserve">Controls data access and infrastructure. Early engagement prevents technical blockers.</w:t>
            </w:r>
          </w:p>
        </w:tc>
        <w:tc>
          <w:tcPr>
            <w:tcW w:type="dxa" w:w="1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center"/>
            </w:pPr>
            <w:r>
              <w:rPr>
                <w:rFonts w:ascii="Arial" w:cs="Arial" w:eastAsia="Arial" w:hAnsi="Arial"/>
                <w:b/>
                <w:bCs/>
                <w:color w:val="E65100"/>
                <w:sz w:val="19"/>
                <w:szCs w:val="19"/>
              </w:rPr>
              <w:t xml:space="preserve">Medium</w:t>
            </w:r>
          </w:p>
        </w:tc>
        <w:tc>
          <w:tcPr>
            <w:tcW w:type="dxa" w:w="1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center"/>
            </w:pPr>
            <w:r>
              <w:rPr>
                <w:rFonts w:ascii="Arial" w:cs="Arial" w:eastAsia="Arial" w:hAnsi="Arial"/>
                <w:b/>
                <w:bCs/>
                <w:color w:val="E65100"/>
                <w:sz w:val="19"/>
                <w:szCs w:val="19"/>
              </w:rPr>
              <w:t xml:space="preserve">Medium</w:t>
            </w:r>
          </w:p>
        </w:tc>
      </w:tr>
    </w:tbl>
    <w:p>
      <w:pPr>
        <w:spacing w:after="80" w:before="80"/>
      </w:pPr>
    </w:p>
    <w:p>
      <w:pPr>
        <w:spacing w:after="60" w:before="60"/>
      </w:pPr>
      <w:r>
        <w:rPr>
          <w:rFonts w:ascii="Arial" w:cs="Arial" w:eastAsia="Arial" w:hAnsi="Arial"/>
          <w:b w:val="false"/>
          <w:bCs w:val="false"/>
          <w:color w:val="555555"/>
          <w:sz w:val="20"/>
          <w:szCs w:val="20"/>
        </w:rPr>
        <w:t xml:space="preserve">Excluded stakeholders — Sam (R&amp;D), Alex (Security), Nia (Legal), Hassan (HR) — have no direct connection to the sales and marketing objective of this project and were not selected.</w:t>
      </w:r>
    </w:p>
    <w:p>
      <w:pPr>
        <w:pBdr>
          <w:bottom w:val="single" w:color="2E7D32" w:sz="4" w:space="1"/>
        </w:pBdr>
        <w:spacing w:after="180" w:before="180"/>
      </w:pPr>
    </w:p>
    <w:p>
      <w:pPr>
        <w:spacing w:after="120" w:before="320"/>
      </w:pPr>
      <w:r>
        <w:rPr>
          <w:rFonts w:ascii="Arial" w:cs="Arial" w:eastAsia="Arial" w:hAnsi="Arial"/>
          <w:b/>
          <w:bCs/>
          <w:color w:val="2E7D32"/>
          <w:sz w:val="34"/>
          <w:szCs w:val="34"/>
        </w:rPr>
        <w:t xml:space="preserve">3. Interview Questions</w:t>
      </w:r>
    </w:p>
    <w:p>
      <w:pPr>
        <w:spacing w:after="60" w:before="60"/>
      </w:pPr>
      <w:r>
        <w:rPr>
          <w:rFonts w:ascii="Arial" w:cs="Arial" w:eastAsia="Arial" w:hAnsi="Arial"/>
          <w:b w:val="false"/>
          <w:bCs w:val="false"/>
          <w:color w:val="212121"/>
          <w:sz w:val="20"/>
          <w:szCs w:val="20"/>
        </w:rPr>
        <w:t xml:space="preserve">Questions are tailored to each stakeholder's domain. The aim is to surface context, define success criteria, and identify constraints before analysis begins.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2E7D32" w:sz="1"/>
              <w:left w:val="single" w:color="2E7D32" w:sz="1"/>
              <w:bottom w:val="single" w:color="2E7D32" w:sz="1"/>
              <w:right w:val="single" w:color="2E7D32" w:sz="1"/>
            </w:tcBorders>
            <w:shd w:fill="388E3C" w:val="clear"/>
            <w:tcMar>
              <w:top w:type="dxa" w:w="90"/>
              <w:left w:type="dxa" w:w="120"/>
              <w:bottom w:type="dxa" w:w="90"/>
              <w:right w:type="dxa" w:w="120"/>
            </w:tcMar>
          </w:tcPr>
          <w:p>
            <w:r>
              <w:rPr>
                <w:rFonts w:ascii="Arial" w:cs="Arial" w:eastAsia="Arial" w:hAnsi="Arial"/>
                <w:b/>
                <w:bCs/>
                <w:color w:val="FFFFFF"/>
                <w:sz w:val="21"/>
                <w:szCs w:val="21"/>
              </w:rPr>
              <w:t xml:space="preserve">Renee</w:t>
            </w:r>
            <w:r>
              <w:rPr>
                <w:rFonts w:ascii="Arial" w:cs="Arial" w:eastAsia="Arial" w:hAnsi="Arial"/>
                <w:color w:val="C8E6C9"/>
                <w:sz w:val="19"/>
                <w:szCs w:val="19"/>
              </w:rPr>
              <w:t xml:space="preserve">  |  Marketing Director</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bCs/>
                <w:color w:val="2E7D32"/>
                <w:sz w:val="20"/>
                <w:szCs w:val="20"/>
              </w:rPr>
              <w:t xml:space="preserve">1</w:t>
            </w:r>
          </w:p>
        </w:tc>
        <w:tc>
          <w:tcPr>
            <w:tcW w:type="dxa" w:w="8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19"/>
                <w:szCs w:val="19"/>
              </w:rPr>
              <w:t xml:space="preserve">What specific customer segments or product categories should this analysis prioritise, and how would you define a successful outcome for the resulting campaigns?</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bCs/>
                <w:color w:val="2E7D32"/>
                <w:sz w:val="20"/>
                <w:szCs w:val="20"/>
              </w:rPr>
              <w:t xml:space="preserve">2</w:t>
            </w:r>
          </w:p>
        </w:tc>
        <w:tc>
          <w:tcPr>
            <w:tcW w:type="dxa" w:w="8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19"/>
                <w:szCs w:val="19"/>
              </w:rPr>
              <w:t xml:space="preserve">What have past campaigns revealed about customer behaviour, and where did they fall short of expectations?</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bCs/>
                <w:color w:val="2E7D32"/>
                <w:sz w:val="20"/>
                <w:szCs w:val="20"/>
              </w:rPr>
              <w:t xml:space="preserve">3</w:t>
            </w:r>
          </w:p>
        </w:tc>
        <w:tc>
          <w:tcPr>
            <w:tcW w:type="dxa" w:w="8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19"/>
                <w:szCs w:val="19"/>
              </w:rPr>
              <w:t xml:space="preserve">What metrics do you use to measure campaign success, and which matter most to leadership?</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2E7D32" w:sz="1"/>
              <w:left w:val="single" w:color="2E7D32" w:sz="1"/>
              <w:bottom w:val="single" w:color="2E7D32" w:sz="1"/>
              <w:right w:val="single" w:color="2E7D32" w:sz="1"/>
            </w:tcBorders>
            <w:shd w:fill="388E3C" w:val="clear"/>
            <w:tcMar>
              <w:top w:type="dxa" w:w="90"/>
              <w:left w:type="dxa" w:w="120"/>
              <w:bottom w:type="dxa" w:w="90"/>
              <w:right w:type="dxa" w:w="120"/>
            </w:tcMar>
          </w:tcPr>
          <w:p>
            <w:r>
              <w:rPr>
                <w:rFonts w:ascii="Arial" w:cs="Arial" w:eastAsia="Arial" w:hAnsi="Arial"/>
                <w:b/>
                <w:bCs/>
                <w:color w:val="FFFFFF"/>
                <w:sz w:val="21"/>
                <w:szCs w:val="21"/>
              </w:rPr>
              <w:t xml:space="preserve">Kane</w:t>
            </w:r>
            <w:r>
              <w:rPr>
                <w:rFonts w:ascii="Arial" w:cs="Arial" w:eastAsia="Arial" w:hAnsi="Arial"/>
                <w:color w:val="C8E6C9"/>
                <w:sz w:val="19"/>
                <w:szCs w:val="19"/>
              </w:rPr>
              <w:t xml:space="preserve">  |  Sales Manager</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bCs/>
                <w:color w:val="2E7D32"/>
                <w:sz w:val="20"/>
                <w:szCs w:val="20"/>
              </w:rPr>
              <w:t xml:space="preserve">1</w:t>
            </w:r>
          </w:p>
        </w:tc>
        <w:tc>
          <w:tcPr>
            <w:tcW w:type="dxa" w:w="8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19"/>
                <w:szCs w:val="19"/>
              </w:rPr>
              <w:t xml:space="preserve">Which product lines, regions, or customer types have shown the strongest and weakest performance over the past 12 months?</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bCs/>
                <w:color w:val="2E7D32"/>
                <w:sz w:val="20"/>
                <w:szCs w:val="20"/>
              </w:rPr>
              <w:t xml:space="preserve">2</w:t>
            </w:r>
          </w:p>
        </w:tc>
        <w:tc>
          <w:tcPr>
            <w:tcW w:type="dxa" w:w="8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19"/>
                <w:szCs w:val="19"/>
              </w:rPr>
              <w:t xml:space="preserve">Are there buying patterns or customer behaviours you've observed that aren't captured in the sales data?</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bCs/>
                <w:color w:val="2E7D32"/>
                <w:sz w:val="20"/>
                <w:szCs w:val="20"/>
              </w:rPr>
              <w:t xml:space="preserve">3</w:t>
            </w:r>
          </w:p>
        </w:tc>
        <w:tc>
          <w:tcPr>
            <w:tcW w:type="dxa" w:w="8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19"/>
                <w:szCs w:val="19"/>
              </w:rPr>
              <w:t xml:space="preserve">What data quality issues in the sales records should I be aware of before starting the analysis?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2E7D32" w:sz="1"/>
              <w:left w:val="single" w:color="2E7D32" w:sz="1"/>
              <w:bottom w:val="single" w:color="2E7D32" w:sz="1"/>
              <w:right w:val="single" w:color="2E7D32" w:sz="1"/>
            </w:tcBorders>
            <w:shd w:fill="388E3C" w:val="clear"/>
            <w:tcMar>
              <w:top w:type="dxa" w:w="90"/>
              <w:left w:type="dxa" w:w="120"/>
              <w:bottom w:type="dxa" w:w="90"/>
              <w:right w:type="dxa" w:w="120"/>
            </w:tcMar>
          </w:tcPr>
          <w:p>
            <w:r>
              <w:rPr>
                <w:rFonts w:ascii="Arial" w:cs="Arial" w:eastAsia="Arial" w:hAnsi="Arial"/>
                <w:b/>
                <w:bCs/>
                <w:color w:val="FFFFFF"/>
                <w:sz w:val="21"/>
                <w:szCs w:val="21"/>
              </w:rPr>
              <w:t xml:space="preserve">Ricci</w:t>
            </w:r>
            <w:r>
              <w:rPr>
                <w:rFonts w:ascii="Arial" w:cs="Arial" w:eastAsia="Arial" w:hAnsi="Arial"/>
                <w:color w:val="C8E6C9"/>
                <w:sz w:val="19"/>
                <w:szCs w:val="19"/>
              </w:rPr>
              <w:t xml:space="preserve">  |  Customer Service Manager</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bCs/>
                <w:color w:val="2E7D32"/>
                <w:sz w:val="20"/>
                <w:szCs w:val="20"/>
              </w:rPr>
              <w:t xml:space="preserve">1</w:t>
            </w:r>
          </w:p>
        </w:tc>
        <w:tc>
          <w:tcPr>
            <w:tcW w:type="dxa" w:w="8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19"/>
                <w:szCs w:val="19"/>
              </w:rPr>
              <w:t xml:space="preserve">What are the most common customer complaints or requests, and do they vary across product categories or customer segments?</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bCs/>
                <w:color w:val="2E7D32"/>
                <w:sz w:val="20"/>
                <w:szCs w:val="20"/>
              </w:rPr>
              <w:t xml:space="preserve">2</w:t>
            </w:r>
          </w:p>
        </w:tc>
        <w:tc>
          <w:tcPr>
            <w:tcW w:type="dxa" w:w="8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19"/>
                <w:szCs w:val="19"/>
              </w:rPr>
              <w:t xml:space="preserve">Have you observed patterns in repeat purchase behaviour — particularly among customers who've had service issues?</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bCs/>
                <w:color w:val="2E7D32"/>
                <w:sz w:val="20"/>
                <w:szCs w:val="20"/>
              </w:rPr>
              <w:t xml:space="preserve">3</w:t>
            </w:r>
          </w:p>
        </w:tc>
        <w:tc>
          <w:tcPr>
            <w:tcW w:type="dxa" w:w="8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19"/>
                <w:szCs w:val="19"/>
              </w:rPr>
              <w:t xml:space="preserve">What feedback consistently points to unmet customer needs or strong loyalty drivers?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2E7D32" w:sz="1"/>
              <w:left w:val="single" w:color="2E7D32" w:sz="1"/>
              <w:bottom w:val="single" w:color="2E7D32" w:sz="1"/>
              <w:right w:val="single" w:color="2E7D32" w:sz="1"/>
            </w:tcBorders>
            <w:shd w:fill="388E3C" w:val="clear"/>
            <w:tcMar>
              <w:top w:type="dxa" w:w="90"/>
              <w:left w:type="dxa" w:w="120"/>
              <w:bottom w:type="dxa" w:w="90"/>
              <w:right w:type="dxa" w:w="120"/>
            </w:tcMar>
          </w:tcPr>
          <w:p>
            <w:r>
              <w:rPr>
                <w:rFonts w:ascii="Arial" w:cs="Arial" w:eastAsia="Arial" w:hAnsi="Arial"/>
                <w:b/>
                <w:bCs/>
                <w:color w:val="FFFFFF"/>
                <w:sz w:val="21"/>
                <w:szCs w:val="21"/>
              </w:rPr>
              <w:t xml:space="preserve">Igor</w:t>
            </w:r>
            <w:r>
              <w:rPr>
                <w:rFonts w:ascii="Arial" w:cs="Arial" w:eastAsia="Arial" w:hAnsi="Arial"/>
                <w:color w:val="C8E6C9"/>
                <w:sz w:val="19"/>
                <w:szCs w:val="19"/>
              </w:rPr>
              <w:t xml:space="preserve">  |  Finance Manager</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bCs/>
                <w:color w:val="2E7D32"/>
                <w:sz w:val="20"/>
                <w:szCs w:val="20"/>
              </w:rPr>
              <w:t xml:space="preserve">1</w:t>
            </w:r>
          </w:p>
        </w:tc>
        <w:tc>
          <w:tcPr>
            <w:tcW w:type="dxa" w:w="8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19"/>
                <w:szCs w:val="19"/>
              </w:rPr>
              <w:t xml:space="preserve">Which product lines or customer segments generate the highest profit margins versus those that are high in revenue but low in profitability?</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bCs/>
                <w:color w:val="2E7D32"/>
                <w:sz w:val="20"/>
                <w:szCs w:val="20"/>
              </w:rPr>
              <w:t xml:space="preserve">2</w:t>
            </w:r>
          </w:p>
        </w:tc>
        <w:tc>
          <w:tcPr>
            <w:tcW w:type="dxa" w:w="8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19"/>
                <w:szCs w:val="19"/>
              </w:rPr>
              <w:t xml:space="preserve">What budget parameters should inform campaign recommendations coming out of this analysis?</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bCs/>
                <w:color w:val="2E7D32"/>
                <w:sz w:val="20"/>
                <w:szCs w:val="20"/>
              </w:rPr>
              <w:t xml:space="preserve">3</w:t>
            </w:r>
          </w:p>
        </w:tc>
        <w:tc>
          <w:tcPr>
            <w:tcW w:type="dxa" w:w="8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19"/>
                <w:szCs w:val="19"/>
              </w:rPr>
              <w:t xml:space="preserve">How is marketing ROI currently tracked, and what financial data sources feed into that?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2E7D32" w:sz="1"/>
              <w:left w:val="single" w:color="2E7D32" w:sz="1"/>
              <w:bottom w:val="single" w:color="2E7D32" w:sz="1"/>
              <w:right w:val="single" w:color="2E7D32" w:sz="1"/>
            </w:tcBorders>
            <w:shd w:fill="388E3C" w:val="clear"/>
            <w:tcMar>
              <w:top w:type="dxa" w:w="90"/>
              <w:left w:type="dxa" w:w="120"/>
              <w:bottom w:type="dxa" w:w="90"/>
              <w:right w:type="dxa" w:w="120"/>
            </w:tcMar>
          </w:tcPr>
          <w:p>
            <w:r>
              <w:rPr>
                <w:rFonts w:ascii="Arial" w:cs="Arial" w:eastAsia="Arial" w:hAnsi="Arial"/>
                <w:b/>
                <w:bCs/>
                <w:color w:val="FFFFFF"/>
                <w:sz w:val="21"/>
                <w:szCs w:val="21"/>
              </w:rPr>
              <w:t xml:space="preserve">Jane</w:t>
            </w:r>
            <w:r>
              <w:rPr>
                <w:rFonts w:ascii="Arial" w:cs="Arial" w:eastAsia="Arial" w:hAnsi="Arial"/>
                <w:color w:val="C8E6C9"/>
                <w:sz w:val="19"/>
                <w:szCs w:val="19"/>
              </w:rPr>
              <w:t xml:space="preserve">  |  IT Manager</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bCs/>
                <w:color w:val="2E7D32"/>
                <w:sz w:val="20"/>
                <w:szCs w:val="20"/>
              </w:rPr>
              <w:t xml:space="preserve">1</w:t>
            </w:r>
          </w:p>
        </w:tc>
        <w:tc>
          <w:tcPr>
            <w:tcW w:type="dxa" w:w="8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19"/>
                <w:szCs w:val="19"/>
              </w:rPr>
              <w:t xml:space="preserve">What systems store the relevant sales and customer data, and what access or permissions are required?</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bCs/>
                <w:color w:val="2E7D32"/>
                <w:sz w:val="20"/>
                <w:szCs w:val="20"/>
              </w:rPr>
              <w:t xml:space="preserve">2</w:t>
            </w:r>
          </w:p>
        </w:tc>
        <w:tc>
          <w:tcPr>
            <w:tcW w:type="dxa" w:w="8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19"/>
                <w:szCs w:val="19"/>
              </w:rPr>
              <w:t xml:space="preserve">Are there known data quality issues — missing fields, duplicates, inconsistent formats — across these sources?</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bCs/>
                <w:color w:val="2E7D32"/>
                <w:sz w:val="20"/>
                <w:szCs w:val="20"/>
              </w:rPr>
              <w:t xml:space="preserve">3</w:t>
            </w:r>
          </w:p>
        </w:tc>
        <w:tc>
          <w:tcPr>
            <w:tcW w:type="dxa" w:w="8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19"/>
                <w:szCs w:val="19"/>
              </w:rPr>
              <w:t xml:space="preserve">What analytical tools are available, and are there any technical constraints I should factor into my approach?</w:t>
            </w:r>
          </w:p>
        </w:tc>
      </w:tr>
    </w:tbl>
    <w:p>
      <w:pPr>
        <w:pBdr>
          <w:bottom w:val="single" w:color="2E7D32" w:sz="4" w:space="1"/>
        </w:pBdr>
        <w:spacing w:after="180" w:before="180"/>
      </w:pPr>
    </w:p>
    <w:p>
      <w:pPr>
        <w:spacing w:after="120" w:before="320"/>
      </w:pPr>
      <w:r>
        <w:rPr>
          <w:rFonts w:ascii="Arial" w:cs="Arial" w:eastAsia="Arial" w:hAnsi="Arial"/>
          <w:b/>
          <w:bCs/>
          <w:color w:val="2E7D32"/>
          <w:sz w:val="34"/>
          <w:szCs w:val="34"/>
        </w:rPr>
        <w:t xml:space="preserve">4. Analyst's Note</w:t>
      </w:r>
    </w:p>
    <w:p>
      <w:pPr>
        <w:spacing w:after="60" w:before="60"/>
      </w:pPr>
      <w:r>
        <w:rPr>
          <w:rFonts w:ascii="Arial" w:cs="Arial" w:eastAsia="Arial" w:hAnsi="Arial"/>
          <w:b w:val="false"/>
          <w:bCs w:val="false"/>
          <w:color w:val="212121"/>
          <w:sz w:val="20"/>
          <w:szCs w:val="20"/>
        </w:rPr>
        <w:t xml:space="preserve">This stakeholder map is a starting point, not a fixed structure. As the project progresses, additional stakeholders may become relevant — particularly if the analysis surfaces insights that touch legal, product, or operational domains. The questions above are designed to open each conversation, not close it.</w:t>
      </w:r>
    </w:p>
    <w:p>
      <w:pPr>
        <w:spacing w:after="80" w:before="80"/>
      </w:pPr>
    </w:p>
    <w:p>
      <w:pPr>
        <w:spacing w:after="60" w:before="60"/>
      </w:pPr>
      <w:r>
        <w:rPr>
          <w:rFonts w:ascii="Arial" w:cs="Arial" w:eastAsia="Arial" w:hAnsi="Arial"/>
          <w:b w:val="false"/>
          <w:bCs w:val="false"/>
          <w:color w:val="555555"/>
          <w:sz w:val="20"/>
          <w:szCs w:val="20"/>
        </w:rPr>
        <w:t xml:space="preserve">The value of this process is not the documentation itself — it is the reduction of analytical risk. Projects that skip stakeholder alignment early tend to produce technically sound work that solves the wrong problem. This exercise exists to prevent that.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2026-04-04T07:06:55.194Z</dcterms:created>
  <dcterms:modified xsi:type="dcterms:W3CDTF">2026-04-04T07:06:55.195Z</dcterms:modified>
</cp:coreProperties>
</file>

<file path=docProps/custom.xml><?xml version="1.0" encoding="utf-8"?>
<Properties xmlns="http://schemas.openxmlformats.org/officeDocument/2006/custom-properties" xmlns:vt="http://schemas.openxmlformats.org/officeDocument/2006/docPropsVTypes"/>
</file>