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Deloitte</w:t>
      </w:r>
    </w:p>
    <w:p>
      <w:r>
        <w:rPr>
          <w:rFonts w:ascii="Calibri" w:cs="Calibri" w:eastAsia="Calibri" w:hAnsi="Calibri"/>
          <w:sz w:val="22"/>
          <w:szCs w:val="22"/>
        </w:rPr>
        <w:t xml:space="preserve">Dubai, Dubai,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Analyst | Fresh Graduates | Emiratization | Dubai</w:t>
      </w:r>
    </w:p>
    <w:p>
      <w:r>
        <w:rPr>
          <w:rFonts w:ascii="Calibri" w:cs="Calibri" w:eastAsia="Calibri" w:hAnsi="Calibri"/>
          <w:sz w:val="22"/>
          <w:szCs w:val="22"/>
        </w:rPr>
        <w:t xml:space="preserve"/>
      </w:r>
    </w:p>
    <w:p>
      <w:r>
        <w:rPr>
          <w:rFonts w:ascii="Calibri" w:cs="Calibri" w:eastAsia="Calibri" w:hAnsi="Calibri"/>
          <w:sz w:val="22"/>
          <w:szCs w:val="22"/>
        </w:rPr>
        <w:t xml:space="preserve">Deloitte's Business Technology division is at the forefront of digital transformation across the Middle East, and I'm particularly drawn to how your Dubai office has been instrumental in helping regional enterprises navigate complex technological transitions whilst maintaining competitive advantage in rapidly evolving markets. Your recent expansion of consulting services specifically for UAE nationals aligns perfectly with my ambition to contribute to the Emirates' vision of building a knowledge-based economy through strategic business analysis.</w:t>
      </w:r>
    </w:p>
    <w:p>
      <w:r>
        <w:rPr>
          <w:rFonts w:ascii="Calibri" w:cs="Calibri" w:eastAsia="Calibri" w:hAnsi="Calibri"/>
          <w:sz w:val="22"/>
          <w:szCs w:val="22"/>
        </w:rPr>
        <w:t xml:space="preserve"/>
      </w:r>
    </w:p>
    <w:p>
      <w:r>
        <w:rPr>
          <w:rFonts w:ascii="Calibri" w:cs="Calibri" w:eastAsia="Calibri" w:hAnsi="Calibri"/>
          <w:sz w:val="22"/>
          <w:szCs w:val="22"/>
        </w:rPr>
        <w:t xml:space="preserve">My experience as an Investment &amp; Partnerships Analyst at Lovemore Sports has equipped me with strong analytical foundations, where I've built comprehensive valuation models and structured six-figure commercial deals for Premier League clubs. This financial modelling expertise, combined with my proven B2B success at G.Network where I achieved a 65%+ conversion rate whilst engaging 50+ C-suite stakeholders, demonstrates my ability to translate complex data insights into actionable business recommendations. Additionally, my strategy consulting work at Castore, where I identified 20%+ revenue upside opportunities, showcases my capability to drive meaningful business impact through rigorous analysis.</w:t>
      </w:r>
    </w:p>
    <w:p>
      <w:r>
        <w:rPr>
          <w:rFonts w:ascii="Calibri" w:cs="Calibri" w:eastAsia="Calibri" w:hAnsi="Calibri"/>
          <w:sz w:val="22"/>
          <w:szCs w:val="22"/>
        </w:rPr>
        <w:t xml:space="preserve"/>
      </w:r>
    </w:p>
    <w:p>
      <w:r>
        <w:rPr>
          <w:rFonts w:ascii="Calibri" w:cs="Calibri" w:eastAsia="Calibri" w:hAnsi="Calibri"/>
          <w:sz w:val="22"/>
          <w:szCs w:val="22"/>
        </w:rPr>
        <w:t xml:space="preserve">I'm excited about the opportunity to bring my LSE and Chicago Booth credentials to Deloitte's dynamic Dubai practice, particularly given the GCC's emergence as a global business hub. With my 1-month notice period, I'm ready to relocate immediately and contribute to your team's continued success in delivering innovative solutions to regional clients. I would welcome the opportunity to discuss how my analytical skills and commercial acumen can add value to your Business Technology division.</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2026-03-07T08:14:46.369Z</dcterms:created>
  <dcterms:modified xsi:type="dcterms:W3CDTF">2026-03-07T08:14:46.369Z</dcterms:modified>
</cp:coreProperties>
</file>

<file path=docProps/custom.xml><?xml version="1.0" encoding="utf-8"?>
<Properties xmlns="http://schemas.openxmlformats.org/officeDocument/2006/custom-properties" xmlns:vt="http://schemas.openxmlformats.org/officeDocument/2006/docPropsVTypes"/>
</file>