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GitHub: </w:t>
      </w:r>
      <w:hyperlink r:id="rId6">
        <w:r w:rsidDel="00000000" w:rsidR="00000000" w:rsidRPr="00000000">
          <w:rPr>
            <w:color w:val="1155cc"/>
            <w:u w:val="single"/>
            <w:rtl w:val="0"/>
          </w:rPr>
          <w:t xml:space="preserve">https://github.com/sthomas2878/map4484-project1</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Brainstorm possible Factors:</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Age (Age groups vs continuous)</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Weight (Groups vs continuous)</w:t>
      </w:r>
    </w:p>
    <w:p w:rsidR="00000000" w:rsidDel="00000000" w:rsidP="00000000" w:rsidRDefault="00000000" w:rsidRPr="00000000" w14:paraId="00000006">
      <w:pPr>
        <w:numPr>
          <w:ilvl w:val="1"/>
          <w:numId w:val="4"/>
        </w:numPr>
        <w:ind w:left="1440" w:hanging="360"/>
        <w:rPr>
          <w:u w:val="none"/>
        </w:rPr>
      </w:pPr>
      <w:r w:rsidDel="00000000" w:rsidR="00000000" w:rsidRPr="00000000">
        <w:rPr>
          <w:rtl w:val="0"/>
        </w:rPr>
        <w:t xml:space="preserve">BMI</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Race (Difficult)</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Gender</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Risk Factors:</w:t>
      </w:r>
    </w:p>
    <w:p w:rsidR="00000000" w:rsidDel="00000000" w:rsidP="00000000" w:rsidRDefault="00000000" w:rsidRPr="00000000" w14:paraId="0000000A">
      <w:pPr>
        <w:numPr>
          <w:ilvl w:val="1"/>
          <w:numId w:val="4"/>
        </w:numPr>
        <w:ind w:left="1440" w:hanging="360"/>
        <w:rPr>
          <w:u w:val="none"/>
        </w:rPr>
      </w:pPr>
      <w:r w:rsidDel="00000000" w:rsidR="00000000" w:rsidRPr="00000000">
        <w:rPr>
          <w:rtl w:val="0"/>
        </w:rPr>
        <w:t xml:space="preserve">Smoker</w:t>
      </w:r>
    </w:p>
    <w:p w:rsidR="00000000" w:rsidDel="00000000" w:rsidP="00000000" w:rsidRDefault="00000000" w:rsidRPr="00000000" w14:paraId="0000000B">
      <w:pPr>
        <w:numPr>
          <w:ilvl w:val="1"/>
          <w:numId w:val="4"/>
        </w:numPr>
        <w:ind w:left="1440" w:hanging="360"/>
        <w:rPr>
          <w:u w:val="none"/>
        </w:rPr>
      </w:pPr>
      <w:r w:rsidDel="00000000" w:rsidR="00000000" w:rsidRPr="00000000">
        <w:rPr>
          <w:rtl w:val="0"/>
        </w:rPr>
        <w:t xml:space="preserve">Drinker</w:t>
      </w:r>
    </w:p>
    <w:p w:rsidR="00000000" w:rsidDel="00000000" w:rsidP="00000000" w:rsidRDefault="00000000" w:rsidRPr="00000000" w14:paraId="0000000C">
      <w:pPr>
        <w:numPr>
          <w:ilvl w:val="1"/>
          <w:numId w:val="4"/>
        </w:numPr>
        <w:ind w:left="1440" w:hanging="360"/>
        <w:rPr>
          <w:u w:val="none"/>
        </w:rPr>
      </w:pPr>
      <w:r w:rsidDel="00000000" w:rsidR="00000000" w:rsidRPr="00000000">
        <w:rPr>
          <w:rtl w:val="0"/>
        </w:rPr>
        <w:t xml:space="preserve">Immunocompromised</w:t>
      </w:r>
    </w:p>
    <w:p w:rsidR="00000000" w:rsidDel="00000000" w:rsidP="00000000" w:rsidRDefault="00000000" w:rsidRPr="00000000" w14:paraId="0000000D">
      <w:pPr>
        <w:numPr>
          <w:ilvl w:val="1"/>
          <w:numId w:val="4"/>
        </w:numPr>
        <w:ind w:left="1440" w:hanging="360"/>
        <w:rPr>
          <w:u w:val="none"/>
        </w:rPr>
      </w:pPr>
      <w:r w:rsidDel="00000000" w:rsidR="00000000" w:rsidRPr="00000000">
        <w:rPr>
          <w:rtl w:val="0"/>
        </w:rPr>
        <w:t xml:space="preserve">Other drug use</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Capsule release system</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Pain Level</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Low</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Moderate</w:t>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Severe</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Drug half life</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absorption in body</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Clearance from body</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Patient #1 (Oxycodone):</w:t>
      </w:r>
    </w:p>
    <w:p w:rsidR="00000000" w:rsidDel="00000000" w:rsidP="00000000" w:rsidRDefault="00000000" w:rsidRPr="00000000" w14:paraId="00000019">
      <w:pPr>
        <w:rPr/>
      </w:pPr>
      <w:r w:rsidDel="00000000" w:rsidR="00000000" w:rsidRPr="00000000">
        <w:rPr>
          <w:rtl w:val="0"/>
        </w:rPr>
        <w:t xml:space="preserve">Age: Elderly patients more prone to effect of oxycodone</w:t>
      </w:r>
    </w:p>
    <w:p w:rsidR="00000000" w:rsidDel="00000000" w:rsidP="00000000" w:rsidRDefault="00000000" w:rsidRPr="00000000" w14:paraId="0000001A">
      <w:pPr>
        <w:rPr/>
      </w:pPr>
      <w:r w:rsidDel="00000000" w:rsidR="00000000" w:rsidRPr="00000000">
        <w:rPr>
          <w:rtl w:val="0"/>
        </w:rPr>
        <w:t xml:space="preserve">Pain Level: Moderate to Severe</w:t>
      </w:r>
    </w:p>
    <w:p w:rsidR="00000000" w:rsidDel="00000000" w:rsidP="00000000" w:rsidRDefault="00000000" w:rsidRPr="00000000" w14:paraId="0000001B">
      <w:pPr>
        <w:rPr/>
      </w:pPr>
      <w:r w:rsidDel="00000000" w:rsidR="00000000" w:rsidRPr="00000000">
        <w:rPr>
          <w:rtl w:val="0"/>
        </w:rPr>
        <w:t xml:space="preserve">Half life: 3 - 5hrs</w:t>
      </w:r>
    </w:p>
    <w:p w:rsidR="00000000" w:rsidDel="00000000" w:rsidP="00000000" w:rsidRDefault="00000000" w:rsidRPr="00000000" w14:paraId="0000001C">
      <w:pPr>
        <w:rPr/>
      </w:pPr>
      <w:r w:rsidDel="00000000" w:rsidR="00000000" w:rsidRPr="00000000">
        <w:rPr>
          <w:rtl w:val="0"/>
        </w:rPr>
        <w:t xml:space="preserve">Therapeutic Range: 10-100 ng/mL depending on dosage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u w:val="single"/>
          <w:rtl w:val="0"/>
        </w:rPr>
        <w:t xml:space="preserve">General Guidelines - Assuming no previous narcotic medicine use or narcotic tolerance (</w:t>
      </w:r>
      <w:hyperlink r:id="rId7">
        <w:r w:rsidDel="00000000" w:rsidR="00000000" w:rsidRPr="00000000">
          <w:rPr>
            <w:color w:val="1155cc"/>
            <w:u w:val="single"/>
            <w:rtl w:val="0"/>
          </w:rPr>
          <w:t xml:space="preserve">Link</w:t>
        </w:r>
      </w:hyperlink>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Severe Pain</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Extended Release</w:t>
      </w:r>
    </w:p>
    <w:p w:rsidR="00000000" w:rsidDel="00000000" w:rsidP="00000000" w:rsidRDefault="00000000" w:rsidRPr="00000000" w14:paraId="00000021">
      <w:pPr>
        <w:numPr>
          <w:ilvl w:val="2"/>
          <w:numId w:val="3"/>
        </w:numPr>
        <w:ind w:left="2160" w:hanging="360"/>
        <w:rPr>
          <w:u w:val="none"/>
        </w:rPr>
      </w:pPr>
      <w:r w:rsidDel="00000000" w:rsidR="00000000" w:rsidRPr="00000000">
        <w:rPr>
          <w:rtl w:val="0"/>
        </w:rPr>
        <w:t xml:space="preserve">Adults: 9mg every 12hrs -&gt; Dose generally not &gt;288mg per day</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Moderate to Severe Pain</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Capsules</w:t>
      </w:r>
    </w:p>
    <w:p w:rsidR="00000000" w:rsidDel="00000000" w:rsidP="00000000" w:rsidRDefault="00000000" w:rsidRPr="00000000" w14:paraId="00000024">
      <w:pPr>
        <w:numPr>
          <w:ilvl w:val="2"/>
          <w:numId w:val="3"/>
        </w:numPr>
        <w:ind w:left="2160" w:hanging="360"/>
        <w:rPr>
          <w:u w:val="none"/>
        </w:rPr>
      </w:pPr>
      <w:r w:rsidDel="00000000" w:rsidR="00000000" w:rsidRPr="00000000">
        <w:rPr>
          <w:rtl w:val="0"/>
        </w:rPr>
        <w:t xml:space="preserve">Adults: 5 - 15mg every 4 - 6hrs</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Extended-release tablets</w:t>
      </w:r>
    </w:p>
    <w:p w:rsidR="00000000" w:rsidDel="00000000" w:rsidP="00000000" w:rsidRDefault="00000000" w:rsidRPr="00000000" w14:paraId="00000026">
      <w:pPr>
        <w:numPr>
          <w:ilvl w:val="2"/>
          <w:numId w:val="3"/>
        </w:numPr>
        <w:ind w:left="2160" w:hanging="360"/>
        <w:rPr>
          <w:u w:val="none"/>
        </w:rPr>
      </w:pPr>
      <w:r w:rsidDel="00000000" w:rsidR="00000000" w:rsidRPr="00000000">
        <w:rPr>
          <w:rtl w:val="0"/>
        </w:rPr>
        <w:t xml:space="preserve">Adults: 10mg every 12 hours</w:t>
      </w:r>
    </w:p>
    <w:p w:rsidR="00000000" w:rsidDel="00000000" w:rsidP="00000000" w:rsidRDefault="00000000" w:rsidRPr="00000000" w14:paraId="00000027">
      <w:pPr>
        <w:numPr>
          <w:ilvl w:val="2"/>
          <w:numId w:val="3"/>
        </w:numPr>
        <w:ind w:left="2160" w:hanging="360"/>
        <w:rPr>
          <w:u w:val="none"/>
        </w:rPr>
      </w:pPr>
      <w:r w:rsidDel="00000000" w:rsidR="00000000" w:rsidRPr="00000000">
        <w:rPr>
          <w:rtl w:val="0"/>
        </w:rPr>
        <w:t xml:space="preserve">Older Adults: 3 - 5mg every 12 hours</w:t>
      </w:r>
    </w:p>
    <w:p w:rsidR="00000000" w:rsidDel="00000000" w:rsidP="00000000" w:rsidRDefault="00000000" w:rsidRPr="00000000" w14:paraId="00000028">
      <w:pPr>
        <w:numPr>
          <w:ilvl w:val="1"/>
          <w:numId w:val="3"/>
        </w:numPr>
        <w:ind w:left="1440" w:hanging="360"/>
        <w:rPr>
          <w:highlight w:val="yellow"/>
        </w:rPr>
      </w:pPr>
      <w:r w:rsidDel="00000000" w:rsidR="00000000" w:rsidRPr="00000000">
        <w:rPr>
          <w:highlight w:val="yellow"/>
          <w:rtl w:val="0"/>
        </w:rPr>
        <w:t xml:space="preserve">Immediate-Release tablets</w:t>
      </w:r>
    </w:p>
    <w:p w:rsidR="00000000" w:rsidDel="00000000" w:rsidP="00000000" w:rsidRDefault="00000000" w:rsidRPr="00000000" w14:paraId="00000029">
      <w:pPr>
        <w:numPr>
          <w:ilvl w:val="2"/>
          <w:numId w:val="3"/>
        </w:numPr>
        <w:ind w:left="2160" w:hanging="360"/>
        <w:rPr>
          <w:highlight w:val="yellow"/>
        </w:rPr>
      </w:pPr>
      <w:r w:rsidDel="00000000" w:rsidR="00000000" w:rsidRPr="00000000">
        <w:rPr>
          <w:highlight w:val="yellow"/>
          <w:rtl w:val="0"/>
        </w:rPr>
        <w:t xml:space="preserve">Adults: 5 - 15mg every 4 - 6hrs</w:t>
      </w:r>
    </w:p>
    <w:p w:rsidR="00000000" w:rsidDel="00000000" w:rsidP="00000000" w:rsidRDefault="00000000" w:rsidRPr="00000000" w14:paraId="0000002A">
      <w:pPr>
        <w:numPr>
          <w:ilvl w:val="2"/>
          <w:numId w:val="3"/>
        </w:numPr>
        <w:ind w:left="2160" w:hanging="360"/>
        <w:rPr>
          <w:highlight w:val="yellow"/>
          <w:u w:val="none"/>
        </w:rPr>
      </w:pPr>
      <w:r w:rsidDel="00000000" w:rsidR="00000000" w:rsidRPr="00000000">
        <w:rPr>
          <w:highlight w:val="yellow"/>
          <w:rtl w:val="0"/>
        </w:rPr>
        <w:t xml:space="preserve">Children: 0.05 - 0.15mg / kg every 4 - 6hours</w:t>
      </w:r>
    </w:p>
    <w:p w:rsidR="00000000" w:rsidDel="00000000" w:rsidP="00000000" w:rsidRDefault="00000000" w:rsidRPr="00000000" w14:paraId="0000002B">
      <w:pPr>
        <w:numPr>
          <w:ilvl w:val="2"/>
          <w:numId w:val="3"/>
        </w:numPr>
        <w:ind w:left="2160" w:hanging="360"/>
        <w:rPr>
          <w:highlight w:val="yellow"/>
          <w:u w:val="none"/>
        </w:rPr>
      </w:pPr>
      <w:r w:rsidDel="00000000" w:rsidR="00000000" w:rsidRPr="00000000">
        <w:rPr>
          <w:highlight w:val="yellow"/>
          <w:rtl w:val="0"/>
        </w:rPr>
        <w:t xml:space="preserve">Liver Impairment: ⅓ - ½ usual dose</w:t>
      </w:r>
    </w:p>
    <w:p w:rsidR="00000000" w:rsidDel="00000000" w:rsidP="00000000" w:rsidRDefault="00000000" w:rsidRPr="00000000" w14:paraId="0000002C">
      <w:pPr>
        <w:numPr>
          <w:ilvl w:val="2"/>
          <w:numId w:val="3"/>
        </w:numPr>
        <w:ind w:left="2160" w:hanging="360"/>
        <w:rPr>
          <w:highlight w:val="yellow"/>
          <w:u w:val="none"/>
        </w:rPr>
      </w:pPr>
      <w:r w:rsidDel="00000000" w:rsidR="00000000" w:rsidRPr="00000000">
        <w:rPr>
          <w:highlight w:val="yellow"/>
          <w:rtl w:val="0"/>
        </w:rPr>
        <w:t xml:space="preserve">Elderly: ⅓ - ½ usual dose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Graphs: Graph for children - Relationship between dose (y) and weight (x), put adults and elderly on same plot (maybe with half-lives)</w:t>
      </w:r>
    </w:p>
    <w:p w:rsidR="00000000" w:rsidDel="00000000" w:rsidP="00000000" w:rsidRDefault="00000000" w:rsidRPr="00000000" w14:paraId="0000002F">
      <w:pPr>
        <w:rPr/>
      </w:pPr>
      <w:r w:rsidDel="00000000" w:rsidR="00000000" w:rsidRPr="00000000">
        <w:rPr>
          <w:rtl w:val="0"/>
        </w:rPr>
        <w:t xml:space="preserve">Matrix to keep track of concentration of each dose from half-life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Tapering: Not needed “A tapering plan may be beneficial for patients who have been taking opioid medications multiple times a day for more than two weeks but less than six months” (</w:t>
      </w:r>
      <w:hyperlink r:id="rId8">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Extended release - Do not need to worry since “The extended-release formulation is FDA approved for the management of pain severe enough to require continuous long-term opioid treatment and for which there are no alternative options to treat the pain.” (</w:t>
      </w:r>
      <w:hyperlink r:id="rId9">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Immediate Release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Onset of action: 10-30min</w:t>
      </w:r>
    </w:p>
    <w:p w:rsidR="00000000" w:rsidDel="00000000" w:rsidP="00000000" w:rsidRDefault="00000000" w:rsidRPr="00000000" w14:paraId="00000038">
      <w:pPr>
        <w:rPr/>
      </w:pPr>
      <w:r w:rsidDel="00000000" w:rsidR="00000000" w:rsidRPr="00000000">
        <w:rPr>
          <w:rtl w:val="0"/>
        </w:rPr>
        <w:t xml:space="preserve">Peak Effect: 1-2 hours</w:t>
      </w:r>
    </w:p>
    <w:p w:rsidR="00000000" w:rsidDel="00000000" w:rsidP="00000000" w:rsidRDefault="00000000" w:rsidRPr="00000000" w14:paraId="00000039">
      <w:pPr>
        <w:rPr/>
      </w:pPr>
      <w:r w:rsidDel="00000000" w:rsidR="00000000" w:rsidRPr="00000000">
        <w:rPr>
          <w:rtl w:val="0"/>
        </w:rPr>
        <w:t xml:space="preserve">Duration range: 3 to 6 hours</w:t>
      </w:r>
    </w:p>
    <w:p w:rsidR="00000000" w:rsidDel="00000000" w:rsidP="00000000" w:rsidRDefault="00000000" w:rsidRPr="00000000" w14:paraId="0000003A">
      <w:pPr>
        <w:rPr/>
      </w:pPr>
      <w:r w:rsidDel="00000000" w:rsidR="00000000" w:rsidRPr="00000000">
        <w:rPr>
          <w:rtl w:val="0"/>
        </w:rPr>
        <w:t xml:space="preserve">Half life: 3 - 5hrs -&gt; Stable plasma levels: 24 - 36hrs</w:t>
      </w:r>
    </w:p>
    <w:p w:rsidR="00000000" w:rsidDel="00000000" w:rsidP="00000000" w:rsidRDefault="00000000" w:rsidRPr="00000000" w14:paraId="0000003B">
      <w:pPr>
        <w:rPr/>
      </w:pPr>
      <w:r w:rsidDel="00000000" w:rsidR="00000000" w:rsidRPr="00000000">
        <w:rPr>
          <w:rtl w:val="0"/>
        </w:rPr>
        <w:t xml:space="preserve">Available in  5mg, 10mg, 15mg, 20mg, 30mg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Weight: Obesity does not affect dosing needs (</w:t>
      </w:r>
      <w:hyperlink r:id="rId10">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Race: Lack of effect (Maybe)</w:t>
      </w:r>
    </w:p>
    <w:p w:rsidR="00000000" w:rsidDel="00000000" w:rsidP="00000000" w:rsidRDefault="00000000" w:rsidRPr="00000000" w14:paraId="0000003F">
      <w:pPr>
        <w:rPr/>
      </w:pPr>
      <w:r w:rsidDel="00000000" w:rsidR="00000000" w:rsidRPr="00000000">
        <w:rPr>
          <w:rtl w:val="0"/>
        </w:rPr>
        <w:t xml:space="preserve">Gender: Lack of effect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Look into Oxycodone MME (1.5) (</w:t>
      </w:r>
      <w:hyperlink r:id="rId11">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50 mme per day medium dose</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90 mme/day high dose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Conversion of mg/L to ng/ml</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Dose between 5 - 15mg</w:t>
      </w:r>
    </w:p>
    <w:p w:rsidR="00000000" w:rsidDel="00000000" w:rsidP="00000000" w:rsidRDefault="00000000" w:rsidRPr="00000000" w14:paraId="00000047">
      <w:pPr>
        <w:numPr>
          <w:ilvl w:val="1"/>
          <w:numId w:val="6"/>
        </w:numPr>
        <w:ind w:left="1440" w:hanging="360"/>
        <w:rPr>
          <w:u w:val="none"/>
        </w:rPr>
      </w:pPr>
      <w:r w:rsidDel="00000000" w:rsidR="00000000" w:rsidRPr="00000000">
        <w:rPr>
          <w:rtl w:val="0"/>
        </w:rPr>
        <w:t xml:space="preserve">5L blood in human body</w:t>
      </w:r>
    </w:p>
    <w:p w:rsidR="00000000" w:rsidDel="00000000" w:rsidP="00000000" w:rsidRDefault="00000000" w:rsidRPr="00000000" w14:paraId="00000048">
      <w:pPr>
        <w:ind w:left="0" w:firstLine="0"/>
        <w:rPr/>
      </w:pPr>
      <w:r w:rsidDel="00000000" w:rsidR="00000000" w:rsidRPr="00000000">
        <w:rPr>
          <w:rtl w:val="0"/>
        </w:rPr>
        <w:t xml:space="preserve">=&gt; 1 - 3 mg/L -&gt; 1000 - 3000 ng/ml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Patient #2 (Ibuprofen): </w:t>
      </w:r>
    </w:p>
    <w:p w:rsidR="00000000" w:rsidDel="00000000" w:rsidP="00000000" w:rsidRDefault="00000000" w:rsidRPr="00000000" w14:paraId="0000004C">
      <w:pPr>
        <w:rPr/>
      </w:pPr>
      <w:hyperlink r:id="rId12">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For mild to moderate pain:</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Adults and teenagers—400 milligrams (mg) every four to six hours, as needed.</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Children over 6 months of age—Dose is based on body weight and must be determined by your doctor. The dose usually is 10 milligrams (mg) per kilogram (kg) of body weight every six to eight hours, as needed, up to 40 mg per kg per day.</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Infants younger than 6 months of age—Use and dose must be determined by your doctor.</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Half life: 1.2 -2 hours</w:t>
      </w:r>
    </w:p>
    <w:p w:rsidR="00000000" w:rsidDel="00000000" w:rsidP="00000000" w:rsidRDefault="00000000" w:rsidRPr="00000000" w14:paraId="00000054">
      <w:pPr>
        <w:ind w:left="0" w:firstLine="0"/>
        <w:rPr/>
      </w:pPr>
      <w:r w:rsidDel="00000000" w:rsidR="00000000" w:rsidRPr="00000000">
        <w:rPr>
          <w:rtl w:val="0"/>
        </w:rPr>
        <w:t xml:space="preserve">Onset of action (fasting): 30-60 minutes</w:t>
      </w:r>
    </w:p>
    <w:p w:rsidR="00000000" w:rsidDel="00000000" w:rsidP="00000000" w:rsidRDefault="00000000" w:rsidRPr="00000000" w14:paraId="00000055">
      <w:pPr>
        <w:ind w:left="0" w:firstLine="0"/>
        <w:rPr/>
      </w:pPr>
      <w:r w:rsidDel="00000000" w:rsidR="00000000" w:rsidRPr="00000000">
        <w:rPr>
          <w:rtl w:val="0"/>
        </w:rPr>
        <w:t xml:space="preserve">Onset of action (non-fasting): about 20–30% slower </w:t>
      </w:r>
      <w:hyperlink r:id="rId13">
        <w:r w:rsidDel="00000000" w:rsidR="00000000" w:rsidRPr="00000000">
          <w:rPr>
            <w:color w:val="1155cc"/>
            <w:u w:val="single"/>
            <w:rtl w:val="0"/>
          </w:rPr>
          <w:t xml:space="preserve">Link</w:t>
        </w:r>
      </w:hyperlink>
      <w:r w:rsidDel="00000000" w:rsidR="00000000" w:rsidRPr="00000000">
        <w:rPr>
          <w:rtl w:val="0"/>
        </w:rPr>
        <w:t xml:space="preserve"> - also depends on type of food eating</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Duration range: 4-6 hours</w:t>
      </w:r>
    </w:p>
    <w:p w:rsidR="00000000" w:rsidDel="00000000" w:rsidP="00000000" w:rsidRDefault="00000000" w:rsidRPr="00000000" w14:paraId="00000057">
      <w:pPr>
        <w:rPr/>
      </w:pPr>
      <w:r w:rsidDel="00000000" w:rsidR="00000000" w:rsidRPr="00000000">
        <w:rPr>
          <w:rtl w:val="0"/>
        </w:rPr>
        <w:t xml:space="preserve">Therapeutic Range: 10 - 50 mg/L (toxic &gt;100 mg/L) </w:t>
      </w:r>
      <w:hyperlink r:id="rId14">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Weight: Obesity does not affect dosing needs</w:t>
      </w:r>
    </w:p>
    <w:p w:rsidR="00000000" w:rsidDel="00000000" w:rsidP="00000000" w:rsidRDefault="00000000" w:rsidRPr="00000000" w14:paraId="0000005A">
      <w:pPr>
        <w:rPr/>
      </w:pPr>
      <w:r w:rsidDel="00000000" w:rsidR="00000000" w:rsidRPr="00000000">
        <w:rPr>
          <w:rtl w:val="0"/>
        </w:rPr>
        <w:t xml:space="preserve">Race: Lack of effect</w:t>
      </w:r>
    </w:p>
    <w:p w:rsidR="00000000" w:rsidDel="00000000" w:rsidP="00000000" w:rsidRDefault="00000000" w:rsidRPr="00000000" w14:paraId="0000005B">
      <w:pPr>
        <w:rPr/>
      </w:pPr>
      <w:r w:rsidDel="00000000" w:rsidR="00000000" w:rsidRPr="00000000">
        <w:rPr>
          <w:rtl w:val="0"/>
        </w:rPr>
        <w:t xml:space="preserve">Gender: Lack of effect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Patient #3 (combination):</w:t>
      </w:r>
    </w:p>
    <w:p w:rsidR="00000000" w:rsidDel="00000000" w:rsidP="00000000" w:rsidRDefault="00000000" w:rsidRPr="00000000" w14:paraId="0000005E">
      <w:pPr>
        <w:rPr/>
      </w:pPr>
      <w:hyperlink r:id="rId15">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For oral dosage (tablets)</w:t>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Adults and children 14 years and older - one tablet every 4 to 6 hours as needed. No more than 4 tablets per day and no longer than 7 days </w:t>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5 mg of oxycodone and 400mg of ibuprofen  </w:t>
      </w:r>
      <w:hyperlink r:id="rId16">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Oxycodone half life: 3.1 hr to 3.7 hr</w:t>
      </w:r>
    </w:p>
    <w:p w:rsidR="00000000" w:rsidDel="00000000" w:rsidP="00000000" w:rsidRDefault="00000000" w:rsidRPr="00000000" w14:paraId="00000064">
      <w:pPr>
        <w:rPr/>
      </w:pPr>
      <w:r w:rsidDel="00000000" w:rsidR="00000000" w:rsidRPr="00000000">
        <w:rPr>
          <w:rtl w:val="0"/>
        </w:rPr>
        <w:t xml:space="preserve">Ibuprofen half life: 1.8 hr to 2.6 hr</w:t>
      </w:r>
    </w:p>
    <w:p w:rsidR="00000000" w:rsidDel="00000000" w:rsidP="00000000" w:rsidRDefault="00000000" w:rsidRPr="00000000" w14:paraId="00000065">
      <w:pPr>
        <w:rPr/>
      </w:pPr>
      <w:r w:rsidDel="00000000" w:rsidR="00000000" w:rsidRPr="00000000">
        <w:rPr>
          <w:rtl w:val="0"/>
        </w:rPr>
        <w:t xml:space="preserve">Oxycodone onset of action: 10-15 min</w:t>
      </w:r>
    </w:p>
    <w:p w:rsidR="00000000" w:rsidDel="00000000" w:rsidP="00000000" w:rsidRDefault="00000000" w:rsidRPr="00000000" w14:paraId="00000066">
      <w:pPr>
        <w:rPr/>
      </w:pPr>
      <w:r w:rsidDel="00000000" w:rsidR="00000000" w:rsidRPr="00000000">
        <w:rPr>
          <w:rtl w:val="0"/>
        </w:rPr>
        <w:t xml:space="preserve">Ibuprofen onset of action: 30 min</w:t>
      </w:r>
    </w:p>
    <w:p w:rsidR="00000000" w:rsidDel="00000000" w:rsidP="00000000" w:rsidRDefault="00000000" w:rsidRPr="00000000" w14:paraId="00000067">
      <w:pPr>
        <w:rPr/>
      </w:pPr>
      <w:r w:rsidDel="00000000" w:rsidR="00000000" w:rsidRPr="00000000">
        <w:rPr>
          <w:rtl w:val="0"/>
        </w:rPr>
        <w:t xml:space="preserve">Oxycodone duration range: 3-6 hr</w:t>
      </w:r>
    </w:p>
    <w:p w:rsidR="00000000" w:rsidDel="00000000" w:rsidP="00000000" w:rsidRDefault="00000000" w:rsidRPr="00000000" w14:paraId="00000068">
      <w:pPr>
        <w:rPr/>
      </w:pPr>
      <w:r w:rsidDel="00000000" w:rsidR="00000000" w:rsidRPr="00000000">
        <w:rPr>
          <w:rtl w:val="0"/>
        </w:rPr>
        <w:t xml:space="preserve">Ibuprofen duration range: 4-6 hr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Weight: Obesity does not affect dosing needs</w:t>
      </w:r>
    </w:p>
    <w:p w:rsidR="00000000" w:rsidDel="00000000" w:rsidP="00000000" w:rsidRDefault="00000000" w:rsidRPr="00000000" w14:paraId="0000006E">
      <w:pPr>
        <w:rPr/>
      </w:pPr>
      <w:r w:rsidDel="00000000" w:rsidR="00000000" w:rsidRPr="00000000">
        <w:rPr>
          <w:rtl w:val="0"/>
        </w:rPr>
        <w:t xml:space="preserve">Race: Lack of effect</w:t>
      </w:r>
    </w:p>
    <w:p w:rsidR="00000000" w:rsidDel="00000000" w:rsidP="00000000" w:rsidRDefault="00000000" w:rsidRPr="00000000" w14:paraId="0000006F">
      <w:pPr>
        <w:rPr/>
      </w:pPr>
      <w:r w:rsidDel="00000000" w:rsidR="00000000" w:rsidRPr="00000000">
        <w:rPr>
          <w:rtl w:val="0"/>
        </w:rPr>
        <w:t xml:space="preserve">Gender: Lack of effect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hyperlink r:id="rId17">
        <w:r w:rsidDel="00000000" w:rsidR="00000000" w:rsidRPr="00000000">
          <w:rPr>
            <w:color w:val="1155cc"/>
            <w:u w:val="single"/>
            <w:rtl w:val="0"/>
          </w:rPr>
          <w:t xml:space="preserve">https://accp1.onlinelibrary.wiley.com/doi/full/10.1002/cpdd.672</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dc.gov/drugoverdose/pdf/calculating_total_daily_dose-a.pdf" TargetMode="External"/><Relationship Id="rId10" Type="http://schemas.openxmlformats.org/officeDocument/2006/relationships/hyperlink" Target="https://medsask.usask.ca/documents/mednews-docs/Benzodiazepine-Dosing-in-Obesity.pdf" TargetMode="External"/><Relationship Id="rId13" Type="http://schemas.openxmlformats.org/officeDocument/2006/relationships/hyperlink" Target="https://academic.oup.com/jpp/article/64/4/465/6135247" TargetMode="External"/><Relationship Id="rId12" Type="http://schemas.openxmlformats.org/officeDocument/2006/relationships/hyperlink" Target="https://www.mayoclinic.org/drugs-supplements/ibuprofen-oral-route/proper-use/drg-200706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books/NBK482226/" TargetMode="External"/><Relationship Id="rId15" Type="http://schemas.openxmlformats.org/officeDocument/2006/relationships/hyperlink" Target="https://www.mayoclinic.org/drugs-supplements/oxycodone-and-ibuprofen-oral-route/proper-use/drg-20062031" TargetMode="External"/><Relationship Id="rId14" Type="http://schemas.openxmlformats.org/officeDocument/2006/relationships/hyperlink" Target="https://www.aae.org/specialty/communique/ibuprofen-well-know-favorite-drug/#:~:text=The%20maximum%20recommended%20daily%20dose,%3E100%20mg%2FL" TargetMode="External"/><Relationship Id="rId17" Type="http://schemas.openxmlformats.org/officeDocument/2006/relationships/hyperlink" Target="https://accp1.onlinelibrary.wiley.com/doi/full/10.1002/cpdd.672" TargetMode="External"/><Relationship Id="rId16" Type="http://schemas.openxmlformats.org/officeDocument/2006/relationships/hyperlink" Target="https://www.ncbi.nlm.nih.gov/pmc/articles/PMC6494203/" TargetMode="External"/><Relationship Id="rId5" Type="http://schemas.openxmlformats.org/officeDocument/2006/relationships/styles" Target="styles.xml"/><Relationship Id="rId6" Type="http://schemas.openxmlformats.org/officeDocument/2006/relationships/hyperlink" Target="https://github.com/sthomas2878/map4484-project1" TargetMode="External"/><Relationship Id="rId7" Type="http://schemas.openxmlformats.org/officeDocument/2006/relationships/hyperlink" Target="https://www.mayoclinic.org/drugs-supplements/oxycodone-oral-route/proper-use/drg-20074193" TargetMode="External"/><Relationship Id="rId8" Type="http://schemas.openxmlformats.org/officeDocument/2006/relationships/hyperlink" Target="https://www.hss.edu/conditions_patient-guide-opioid-taperin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