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eed2e70dda1cd66a4e074fdbd117ce3a4f8aec"/>
    <w:p>
      <w:pPr>
        <w:pStyle w:val="Heading1"/>
      </w:pPr>
      <w:r>
        <w:t xml:space="preserve">NuGeMi-KG: A FAIR tri-layer knowledge graph integrating nutrigenetics, gut microbiome, and food chemistry for cardiometabolic precision nutrition</w:t>
      </w:r>
    </w:p>
    <w:p>
      <w:pPr>
        <w:pStyle w:val="FirstParagraph"/>
      </w:pPr>
      <w:r>
        <w:rPr>
          <w:bCs/>
          <w:b/>
        </w:rPr>
        <w:t xml:space="preserve">Sharath Thoniyot</w:t>
      </w:r>
      <w:r>
        <w:t xml:space="preserve">¹,</w:t>
      </w:r>
      <w:r>
        <w:t xml:space="preserve"> </w:t>
      </w:r>
      <w:r>
        <w:rPr>
          <w:bCs/>
          <w:b/>
        </w:rPr>
        <w:t xml:space="preserve">Vijayakumar Balakrishnan</w:t>
      </w:r>
      <w:r>
        <w:t xml:space="preserve">¹</w:t>
      </w:r>
    </w:p>
    <w:p>
      <w:pPr>
        <w:pStyle w:val="BodyText"/>
      </w:pPr>
      <w:r>
        <w:t xml:space="preserve">¹ Department of Computer Science, Birla Institute of Technology and Science Pilani, Dubai Campus, United Arab Emirates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Sharath Thoniyot (p20230010@dubai.bits-pilani.ac.in)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Cardiometabolic diseases arise from the interplay of genetic susceptibility, gut microbiome activity, and dietary intake. Existing biomedical knowledge graphs cover these layers in isolation.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constructed</w:t>
      </w:r>
      <w:r>
        <w:t xml:space="preserve"> </w:t>
      </w:r>
      <w:r>
        <w:rPr>
          <w:iCs/>
          <w:i/>
        </w:rPr>
        <w:t xml:space="preserve">NuGeMi-KG</w:t>
      </w:r>
      <w:r>
        <w:t xml:space="preserve">, a tri-layer knowledge graph integrating cardiometabolic GWAS associations (GWAS Catalog), microbe–metabolite and microbe–host gene relationships (gutMGene v2.0), and food-composition data (USDA FoodData Central). The KG is implemented in BioCypher, aligned to the Biolink Model, and deployed in Neo4j.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NuGeMi-KG contains 55,263 nodes and 85,308 edges across 8 node types and 9 edge types. We define 15 competency questions, of which 14 return biologically meaningful results. The KG supports five-hop cross-layer queries that surface novel nutrigenetic hypotheses (e.g. 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→ PPARG → 45 cardiometabolic SNPs).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NuGeMi-KG is the first public KG that integrates all three layers under a single ontology-aligned schema and is openly queryable for hypothesis generation in precision nutrition.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knowledge graph, cardiometabolic disease, nutrigenetics, gut microbiome, precision nutrition, Biolink, BioCypher, FAIR</w:t>
      </w:r>
    </w:p>
    <w:p>
      <w:r>
        <w:pict>
          <v:rect style="width:0;height:1.5pt" o:hralign="center" o:hrstd="t" o:hr="t"/>
        </w:pict>
      </w:r>
    </w:p>
    <w:bookmarkEnd w:id="20"/>
    <w:bookmarkStart w:id="21" w:name="background-summary"/>
    <w:p>
      <w:pPr>
        <w:pStyle w:val="Heading2"/>
      </w:pPr>
      <w:r>
        <w:t xml:space="preserve">1 Background &amp; Summary</w:t>
      </w:r>
    </w:p>
    <w:p>
      <w:pPr>
        <w:pStyle w:val="FirstParagraph"/>
      </w:pPr>
      <w:r>
        <w:t xml:space="preserve">Cardiometabolic diseases — encompassing type 2 diabetes mellitus, obesity, dyslipidemias,</w:t>
      </w:r>
      <w:r>
        <w:t xml:space="preserve"> </w:t>
      </w:r>
      <w:r>
        <w:t xml:space="preserve">hypertension, and atherosclerotic cardiovascular disease — collectively account for the</w:t>
      </w:r>
      <w:r>
        <w:t xml:space="preserve"> </w:t>
      </w:r>
      <w:r>
        <w:t xml:space="preserve">single largest preventable contributor to global morbidity and mortality. Their etiology is</w:t>
      </w:r>
      <w:r>
        <w:t xml:space="preserve"> </w:t>
      </w:r>
      <w:r>
        <w:t xml:space="preserve">classically multifactorial: heritable susceptibility identified through genome-wide</w:t>
      </w:r>
      <w:r>
        <w:t xml:space="preserve"> </w:t>
      </w:r>
      <w:r>
        <w:t xml:space="preserve">association studies, environmental exposure to specific dietary patterns and food bioactives,</w:t>
      </w:r>
      <w:r>
        <w:t xml:space="preserve"> </w:t>
      </w:r>
      <w:r>
        <w:t xml:space="preserve">and an emerging modulating role of the gut microbiome. Effective precision-nutrition</w:t>
      </w:r>
      <w:r>
        <w:t xml:space="preserve"> </w:t>
      </w:r>
      <w:r>
        <w:t xml:space="preserve">interventions therefore require reasoning across three biological dimensions</w:t>
      </w:r>
      <w:r>
        <w:t xml:space="preserve"> </w:t>
      </w:r>
      <w:r>
        <w:t xml:space="preserve">simultaneously — host genetic susceptibility, the chemical composition of consumed food,</w:t>
      </w:r>
      <w:r>
        <w:t xml:space="preserve"> </w:t>
      </w:r>
      <w:r>
        <w:t xml:space="preserve">and gut microbial activity — rather than within any one dimension in isolation.</w:t>
      </w:r>
    </w:p>
    <w:p>
      <w:pPr>
        <w:pStyle w:val="BodyText"/>
      </w:pPr>
      <w:r>
        <w:t xml:space="preserve">Each of these dimensions has been characterised at scale through dedicated public</w:t>
      </w:r>
      <w:r>
        <w:t xml:space="preserve"> </w:t>
      </w:r>
      <w:r>
        <w:t xml:space="preserve">resources. The NHGRI–EBI GWAS Catalog (1) curates more than one million SNP–trait</w:t>
      </w:r>
      <w:r>
        <w:t xml:space="preserve"> </w:t>
      </w:r>
      <w:r>
        <w:t xml:space="preserve">associations from over 7,000 publications, capturing the genetics layer. The USDA</w:t>
      </w:r>
      <w:r>
        <w:t xml:space="preserve"> </w:t>
      </w:r>
      <w:r>
        <w:t xml:space="preserve">FoodData Central programme (2) provides analytical-laboratory-grade composition profiles</w:t>
      </w:r>
      <w:r>
        <w:t xml:space="preserve"> </w:t>
      </w:r>
      <w:r>
        <w:t xml:space="preserve">for hundreds of foods across more than 600 nutrients. The gutMGene v2.0 database (3)</w:t>
      </w:r>
      <w:r>
        <w:t xml:space="preserve"> </w:t>
      </w:r>
      <w:r>
        <w:t xml:space="preserve">curates causal and correlational relationships between gut microbes, their metabolites, and</w:t>
      </w:r>
      <w:r>
        <w:t xml:space="preserve"> </w:t>
      </w:r>
      <w:r>
        <w:t xml:space="preserve">host genes, distinguished by experimental evidence type. Together, these three resources</w:t>
      </w:r>
      <w:r>
        <w:t xml:space="preserve"> </w:t>
      </w:r>
      <w:r>
        <w:t xml:space="preserve">constitute a near-complete reference base for nutrigenetic and microbiome-informed</w:t>
      </w:r>
      <w:r>
        <w:t xml:space="preserve"> </w:t>
      </w:r>
      <w:r>
        <w:t xml:space="preserve">research; however, they do not interoperate without significant integration effort, and</w:t>
      </w:r>
      <w:r>
        <w:t xml:space="preserve"> </w:t>
      </w:r>
      <w:r>
        <w:t xml:space="preserve">disease-relevant cross-layer queries — for instance,</w:t>
      </w:r>
      <w:r>
        <w:t xml:space="preserve"> </w:t>
      </w:r>
      <w:r>
        <w:t xml:space="preserve">“</w:t>
      </w:r>
      <w:r>
        <w:t xml:space="preserve">which foods carry nutrients that gut</w:t>
      </w:r>
      <w:r>
        <w:t xml:space="preserve"> </w:t>
      </w:r>
      <w:r>
        <w:t xml:space="preserve">microbes convert into metabolites which modulate genes carrying T2D-associated GWAS</w:t>
      </w:r>
      <w:r>
        <w:t xml:space="preserve"> </w:t>
      </w:r>
      <w:r>
        <w:t xml:space="preserve">variants</w:t>
      </w:r>
      <w:r>
        <w:t xml:space="preserve">”</w:t>
      </w:r>
      <w:r>
        <w:t xml:space="preserve"> </w:t>
      </w:r>
      <w:r>
        <w:t xml:space="preserve">— cannot be expressed in any single resource.</w:t>
      </w:r>
    </w:p>
    <w:p>
      <w:pPr>
        <w:pStyle w:val="BodyText"/>
      </w:pPr>
      <w:r>
        <w:t xml:space="preserve">Several biomedical knowledge graphs (KGs) have aggregated subsets of this information.</w:t>
      </w:r>
      <w:r>
        <w:t xml:space="preserve"> </w:t>
      </w:r>
      <w:r>
        <w:t xml:space="preserve">PrimeKG (4) integrates twenty primary biomedical resources to describe 17,080 diseases</w:t>
      </w:r>
      <w:r>
        <w:t xml:space="preserve"> </w:t>
      </w:r>
      <w:r>
        <w:t xml:space="preserve">across ten biological scales but does not include food composition or microbiome data. The</w:t>
      </w:r>
      <w:r>
        <w:t xml:space="preserve"> </w:t>
      </w:r>
      <w:r>
        <w:t xml:space="preserve">Monarch Initiative knowledge graph (5) provides extensive disease–gene–phenotype</w:t>
      </w:r>
      <w:r>
        <w:t xml:space="preserve"> </w:t>
      </w:r>
      <w:r>
        <w:t xml:space="preserve">integration across species but lacks both nutritional and microbial layers. Microbe-focused</w:t>
      </w:r>
      <w:r>
        <w:t xml:space="preserve"> </w:t>
      </w:r>
      <w:r>
        <w:t xml:space="preserve">KGs such as KGMicrobe represent microbe–disease associations without GWAS-level</w:t>
      </w:r>
      <w:r>
        <w:t xml:space="preserve"> </w:t>
      </w:r>
      <w:r>
        <w:t xml:space="preserve">genetic evidence. Food-chemistry resources such as FooDB and the recent VMH catalog</w:t>
      </w:r>
      <w:r>
        <w:t xml:space="preserve"> </w:t>
      </w:r>
      <w:r>
        <w:t xml:space="preserve">the chemistry of consumed foods but do not link them to host genetic variation. To our</w:t>
      </w:r>
      <w:r>
        <w:t xml:space="preserve"> </w:t>
      </w:r>
      <w:r>
        <w:t xml:space="preserve">knowledge, no single public knowledge graph integrates host nutrigenetics, gut microbial</w:t>
      </w:r>
      <w:r>
        <w:t xml:space="preserve"> </w:t>
      </w:r>
      <w:r>
        <w:t xml:space="preserve">function, and food composition under a unified ontology-aligned schema; consequently,</w:t>
      </w:r>
      <w:r>
        <w:t xml:space="preserve"> </w:t>
      </w:r>
      <w:r>
        <w:t xml:space="preserve">the integrative cross-layer reasoning patterns required for precision-nutrition hypothesis</w:t>
      </w:r>
      <w:r>
        <w:t xml:space="preserve"> </w:t>
      </w:r>
      <w:r>
        <w:t xml:space="preserve">generation are not currently expressible as direct queries against any single resource.</w:t>
      </w:r>
    </w:p>
    <w:p>
      <w:pPr>
        <w:pStyle w:val="BodyText"/>
      </w:pPr>
      <w:r>
        <w:t xml:space="preserve">We address this gap with</w:t>
      </w:r>
      <w:r>
        <w:t xml:space="preserve"> </w:t>
      </w:r>
      <w:r>
        <w:rPr>
          <w:bCs/>
          <w:b/>
        </w:rPr>
        <w:t xml:space="preserve">NuGeMi-KG</w:t>
      </w:r>
      <w:r>
        <w:t xml:space="preserve">, a tri-layer cardiometabolic knowledge graph that</w:t>
      </w:r>
      <w:r>
        <w:t xml:space="preserve"> </w:t>
      </w:r>
      <w:r>
        <w:t xml:space="preserve">brings nutrigenetics, gut microbiome, and food composition into a single Biolink-aligned</w:t>
      </w:r>
      <w:r>
        <w:t xml:space="preserve"> </w:t>
      </w:r>
      <w:r>
        <w:t xml:space="preserve">schema (6) and is implemented as a fully reproducible BioCypher pipeline (7). The</w:t>
      </w:r>
      <w:r>
        <w:t xml:space="preserve"> </w:t>
      </w:r>
      <w:r>
        <w:t xml:space="preserve">released resource contains 55,263 nodes and 85,308 edges across eight node types and</w:t>
      </w:r>
      <w:r>
        <w:t xml:space="preserve"> </w:t>
      </w:r>
      <w:r>
        <w:t xml:space="preserve">nine edge types, anchored on eleven cardiometabolic phenotypes harmonised to MONDO</w:t>
      </w:r>
      <w:r>
        <w:t xml:space="preserve"> </w:t>
      </w:r>
      <w:r>
        <w:t xml:space="preserve">disease classes (8). We define fifteen competency questions to validate the schema and</w:t>
      </w:r>
      <w:r>
        <w:t xml:space="preserve"> </w:t>
      </w:r>
      <w:r>
        <w:t xml:space="preserve">demonstrate that the KG supports the intended cross-layer query patterns; in particular,</w:t>
      </w:r>
      <w:r>
        <w:t xml:space="preserve"> </w:t>
      </w:r>
      <w:r>
        <w:t xml:space="preserve">five tri-layer questions return non-trivial five-hop paths integrating food, microbiome,</w:t>
      </w:r>
      <w:r>
        <w:t xml:space="preserve"> </w:t>
      </w:r>
      <w:r>
        <w:t xml:space="preserve">and genetics evidence. As one example, querying for microbes that modulate host genes</w:t>
      </w:r>
      <w:r>
        <w:t xml:space="preserve"> </w:t>
      </w:r>
      <w:r>
        <w:t xml:space="preserve">carrying cardiometabolic GWAS variants surfaces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as joint modulators of PPARG, a gene with 45 distinct</w:t>
      </w:r>
      <w:r>
        <w:t xml:space="preserve"> </w:t>
      </w:r>
      <w:r>
        <w:t xml:space="preserve">cardiometabolic GWAS variants spanning seven phenotypes (Figure 3) — a tri-layer</w:t>
      </w:r>
      <w:r>
        <w:t xml:space="preserve"> </w:t>
      </w:r>
      <w:r>
        <w:t xml:space="preserve">hypothesis pattern that, to our knowledge, no existing public KG has previously made</w:t>
      </w:r>
      <w:r>
        <w:t xml:space="preserve"> </w:t>
      </w:r>
      <w:r>
        <w:t xml:space="preserve">queryable. The remainder of this paper describes the data sources and integration</w:t>
      </w:r>
      <w:r>
        <w:t xml:space="preserve"> </w:t>
      </w:r>
      <w:r>
        <w:t xml:space="preserve">the methodology (§3), the released artifacts (§4), data quality assessment and competency</w:t>
      </w:r>
      <w:r>
        <w:t xml:space="preserve"> </w:t>
      </w:r>
      <w:r>
        <w:t xml:space="preserve">evaluation (§5), and the broader implications (§6).</w:t>
      </w:r>
    </w:p>
    <w:bookmarkEnd w:id="21"/>
    <w:bookmarkStart w:id="27" w:name="literature-review"/>
    <w:p>
      <w:pPr>
        <w:pStyle w:val="Heading2"/>
      </w:pPr>
      <w:r>
        <w:t xml:space="preserve">2 Literature Review</w:t>
      </w:r>
    </w:p>
    <w:p>
      <w:pPr>
        <w:pStyle w:val="FirstParagraph"/>
      </w:pPr>
      <w:r>
        <w:t xml:space="preserve">The construction of NuGeMi-KG draws on four converging research threads:</w:t>
      </w:r>
      <w:r>
        <w:t xml:space="preserve"> </w:t>
      </w:r>
      <w:r>
        <w:t xml:space="preserve">nutrigenetics and gene-diet interaction, gut-microbiome contributions to</w:t>
      </w:r>
      <w:r>
        <w:t xml:space="preserve"> </w:t>
      </w:r>
      <w:r>
        <w:t xml:space="preserve">cardiometabolic disease, food-chemistry ontologies, and biomedical knowledge</w:t>
      </w:r>
      <w:r>
        <w:t xml:space="preserve"> </w:t>
      </w:r>
      <w:r>
        <w:t xml:space="preserve">graphs as a computational substrate. We briefly summarise the state of each.</w:t>
      </w:r>
    </w:p>
    <w:bookmarkStart w:id="22" w:name="nutrigenetics-and-gene-diet-interaction"/>
    <w:p>
      <w:pPr>
        <w:pStyle w:val="Heading3"/>
      </w:pPr>
      <w:r>
        <w:t xml:space="preserve">2.1 Nutrigenetics and gene-diet interaction</w:t>
      </w:r>
    </w:p>
    <w:p>
      <w:pPr>
        <w:pStyle w:val="FirstParagraph"/>
      </w:pPr>
      <w:r>
        <w:t xml:space="preserve">Nutrigenetics — the study of how host genetic variation modulates the</w:t>
      </w:r>
      <w:r>
        <w:t xml:space="preserve"> </w:t>
      </w:r>
      <w:r>
        <w:t xml:space="preserve">response to dietary intake — has matured from candidate-gene associations</w:t>
      </w:r>
      <w:r>
        <w:t xml:space="preserve"> </w:t>
      </w:r>
      <w:r>
        <w:t xml:space="preserve">to genome-wide investigation of gene-environment (G × E) interaction</w:t>
      </w:r>
      <w:r>
        <w:t xml:space="preserve"> </w:t>
      </w:r>
      <w:r>
        <w:t xml:space="preserve">[9]. Recent reviews report over 300 G × E loci interacting with metabolic</w:t>
      </w:r>
      <w:r>
        <w:t xml:space="preserve"> </w:t>
      </w:r>
      <w:r>
        <w:t xml:space="preserve">syndrome traits across 42 GWAS, with FTO, MC4R, TCF7L2, and PPARA</w:t>
      </w:r>
      <w:r>
        <w:t xml:space="preserve"> </w:t>
      </w:r>
      <w:r>
        <w:t xml:space="preserve">recurring as principal variants [9, 10]. Birk (2025) summarises evidence</w:t>
      </w:r>
      <w:r>
        <w:t xml:space="preserve"> </w:t>
      </w:r>
      <w:r>
        <w:t xml:space="preserve">that polymorphisms in CYP2R1, TMEM18, and FTO modulate obesity and</w:t>
      </w:r>
      <w:r>
        <w:t xml:space="preserve"> </w:t>
      </w:r>
      <w:r>
        <w:t xml:space="preserve">metabolic-syndrome risk in a diet-dependent manner [11], while Hossain</w:t>
      </w:r>
      <w:r>
        <w:t xml:space="preserve"> </w:t>
      </w:r>
      <w:r>
        <w:t xml:space="preserve">et al. (2025) catalogue 127 candidate genes and 253 quantitative trait</w:t>
      </w:r>
      <w:r>
        <w:t xml:space="preserve"> </w:t>
      </w:r>
      <w:r>
        <w:t xml:space="preserve">loci implicated in obesity susceptibility, distinguishing rare monogenic</w:t>
      </w:r>
      <w:r>
        <w:t xml:space="preserve"> </w:t>
      </w:r>
      <w:r>
        <w:t xml:space="preserve">variants (LEP, LEPR, MC4R, POMC, PCSK1) from common polygenic loci [12].</w:t>
      </w:r>
      <w:r>
        <w:t xml:space="preserve"> </w:t>
      </w:r>
      <w:r>
        <w:t xml:space="preserve">Despite this volume of evidence, translation to clinical precision-nutrition</w:t>
      </w:r>
      <w:r>
        <w:t xml:space="preserve"> </w:t>
      </w:r>
      <w:r>
        <w:t xml:space="preserve">intervention remains limited [13]: the Nature Medicine review by Berry</w:t>
      </w:r>
      <w:r>
        <w:t xml:space="preserve"> </w:t>
      </w:r>
      <w:r>
        <w:t xml:space="preserve">et al. (2025) explicitly identifies the lack of integration across genetic,</w:t>
      </w:r>
      <w:r>
        <w:t xml:space="preserve"> </w:t>
      </w:r>
      <w:r>
        <w:t xml:space="preserve">microbial, and dietary data sources as a principal barrier to clinical</w:t>
      </w:r>
      <w:r>
        <w:t xml:space="preserve"> </w:t>
      </w:r>
      <w:r>
        <w:t xml:space="preserve">deployment [13].</w:t>
      </w:r>
    </w:p>
    <w:bookmarkEnd w:id="22"/>
    <w:bookmarkStart w:id="23" w:name="X934a603e5793754c1a08978311a908313c7b6a3"/>
    <w:p>
      <w:pPr>
        <w:pStyle w:val="Heading3"/>
      </w:pPr>
      <w:r>
        <w:t xml:space="preserve">2.2 Gut microbiome contributions to cardiometabolic disease</w:t>
      </w:r>
    </w:p>
    <w:p>
      <w:pPr>
        <w:pStyle w:val="FirstParagraph"/>
      </w:pPr>
      <w:r>
        <w:t xml:space="preserve">The gut microbiome is now established as an independent contributor to</w:t>
      </w:r>
      <w:r>
        <w:t xml:space="preserve"> </w:t>
      </w:r>
      <w:r>
        <w:t xml:space="preserve">cardiometabolic risk. The Nature Reviews Cardiology synthesis by Witkowski</w:t>
      </w:r>
      <w:r>
        <w:t xml:space="preserve"> </w:t>
      </w:r>
      <w:r>
        <w:t xml:space="preserve">et al. (2023) describes specific microbe-derived metabolites — short-chain</w:t>
      </w:r>
      <w:r>
        <w:t xml:space="preserve"> </w:t>
      </w:r>
      <w:r>
        <w:t xml:space="preserve">fatty acids (acetate, butyrate, propionate), trimethylamine N-oxide</w:t>
      </w:r>
      <w:r>
        <w:t xml:space="preserve"> </w:t>
      </w:r>
      <w:r>
        <w:t xml:space="preserve">(TMAO), bile-acid derivatives — as causal mediators of host inflammation,</w:t>
      </w:r>
      <w:r>
        <w:t xml:space="preserve"> </w:t>
      </w:r>
      <w:r>
        <w:t xml:space="preserve">endothelial dysfunction, and insulin resistance [14]. Theofilis et al.</w:t>
      </w:r>
      <w:r>
        <w:t xml:space="preserve"> </w:t>
      </w:r>
      <w:r>
        <w:t xml:space="preserve">(2024) review microbe-targeted therapeutic options for cardiometabolic</w:t>
      </w:r>
      <w:r>
        <w:t xml:space="preserve"> </w:t>
      </w:r>
      <w:r>
        <w:t xml:space="preserve">disease, including fecal-microbiota transplantation and dietary modulation</w:t>
      </w:r>
      <w:r>
        <w:t xml:space="preserve"> </w:t>
      </w:r>
      <w:r>
        <w:t xml:space="preserve">[15]. Carter et al. (2025) report in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t xml:space="preserve">that a non-industrialised-type</w:t>
      </w:r>
      <w:r>
        <w:t xml:space="preserve"> </w:t>
      </w:r>
      <w:r>
        <w:t xml:space="preserve">diet restores microbiome diversity and enhances</w:t>
      </w:r>
      <w:r>
        <w:t xml:space="preserve"> </w:t>
      </w:r>
      <w:r>
        <w:rPr>
          <w:iCs/>
          <w:i/>
        </w:rPr>
        <w:t xml:space="preserve">Limosilactobacillus</w:t>
      </w:r>
      <w:r>
        <w:rPr>
          <w:iCs/>
          <w:i/>
        </w:rPr>
        <w:t xml:space="preserve"> </w:t>
      </w:r>
      <w:r>
        <w:rPr>
          <w:iCs/>
          <w:i/>
        </w:rPr>
        <w:t xml:space="preserve">reuteri</w:t>
      </w:r>
      <w:r>
        <w:t xml:space="preserve"> </w:t>
      </w:r>
      <w:r>
        <w:t xml:space="preserve">persistence with measurable cardiometabolic benefit [16].</w:t>
      </w:r>
      <w:r>
        <w:t xml:space="preserve"> </w:t>
      </w:r>
      <w:r>
        <w:t xml:space="preserve">Wei et al. (2025) extend this work to the gut mycobiome, identifying</w:t>
      </w:r>
      <w:r>
        <w:t xml:space="preserve"> </w:t>
      </w:r>
      <w:r>
        <w:rPr>
          <w:iCs/>
          <w:i/>
        </w:rPr>
        <w:t xml:space="preserve">Candida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Saccharomyces</w:t>
      </w:r>
      <w:r>
        <w:t xml:space="preserve"> </w:t>
      </w:r>
      <w:r>
        <w:t xml:space="preserve">dysbiosis as cardiometabolic risk factors</w:t>
      </w:r>
      <w:r>
        <w:t xml:space="preserve"> </w:t>
      </w:r>
      <w:r>
        <w:t xml:space="preserve">[17]. Across these studies, mechanistic hypotheses are typically generated</w:t>
      </w:r>
      <w:r>
        <w:t xml:space="preserve"> </w:t>
      </w:r>
      <w:r>
        <w:t xml:space="preserve">manually from individual papers; the systematic integration of</w:t>
      </w:r>
      <w:r>
        <w:t xml:space="preserve"> </w:t>
      </w:r>
      <w:r>
        <w:t xml:space="preserve">microbe-metabolite-host-gene relationships remains, as gutMGene v2.0’s</w:t>
      </w:r>
      <w:r>
        <w:t xml:space="preserve"> </w:t>
      </w:r>
      <w:r>
        <w:t xml:space="preserve">curators note, an active curation challenge [3].</w:t>
      </w:r>
    </w:p>
    <w:bookmarkEnd w:id="23"/>
    <w:bookmarkStart w:id="24" w:name="food-chemistry-resources-and-ontologies"/>
    <w:p>
      <w:pPr>
        <w:pStyle w:val="Heading3"/>
      </w:pPr>
      <w:r>
        <w:t xml:space="preserve">2.3 Food-chemistry resources and ontologies</w:t>
      </w:r>
    </w:p>
    <w:p>
      <w:pPr>
        <w:pStyle w:val="FirstParagraph"/>
      </w:pPr>
      <w:r>
        <w:t xml:space="preserve">Food-composition databases provide the third layer. USDA FoodData Central</w:t>
      </w:r>
      <w:r>
        <w:t xml:space="preserve"> </w:t>
      </w:r>
      <w:r>
        <w:t xml:space="preserve">(USDA-FDC) supplies analytical-laboratory measurements for hundreds of</w:t>
      </w:r>
      <w:r>
        <w:t xml:space="preserve"> </w:t>
      </w:r>
      <w:r>
        <w:t xml:space="preserve">foods across more than 600 nutrients [2]. FooDB catalogues approximately</w:t>
      </w:r>
      <w:r>
        <w:t xml:space="preserve"> </w:t>
      </w:r>
      <w:r>
        <w:t xml:space="preserve">28,000 chemicals across 1,000 raw or unprocessed foods, including</w:t>
      </w:r>
      <w:r>
        <w:t xml:space="preserve"> </w:t>
      </w:r>
      <w:r>
        <w:t xml:space="preserve">non-nutrient bioactives [18]. The FoodOn ontology, an OBO-Foundry member,</w:t>
      </w:r>
      <w:r>
        <w:t xml:space="preserve"> </w:t>
      </w:r>
      <w:r>
        <w:t xml:space="preserve">provides a standardised hierarchy of food product terms reused across</w:t>
      </w:r>
      <w:r>
        <w:t xml:space="preserve"> </w:t>
      </w:r>
      <w:r>
        <w:t xml:space="preserve">ChEBI for chemical entities, NCBITaxon for source organisms, and ENVO</w:t>
      </w:r>
      <w:r>
        <w:t xml:space="preserve"> </w:t>
      </w:r>
      <w:r>
        <w:t xml:space="preserve">for environmental context [19]. Built on these foundations, FoodKG</w:t>
      </w:r>
      <w:r>
        <w:t xml:space="preserve"> </w:t>
      </w:r>
      <w:r>
        <w:t xml:space="preserve">integrates over a million recipes against FoodOn and ChEBI [20], and</w:t>
      </w:r>
      <w:r>
        <w:t xml:space="preserve"> </w:t>
      </w:r>
      <w:r>
        <w:t xml:space="preserve">FoodAtlas extracts food-chemical relationships from the literature using</w:t>
      </w:r>
      <w:r>
        <w:t xml:space="preserve"> </w:t>
      </w:r>
      <w:r>
        <w:t xml:space="preserve">LLM-assisted entity resolution [21]. None of these resources, however,</w:t>
      </w:r>
      <w:r>
        <w:t xml:space="preserve"> </w:t>
      </w:r>
      <w:r>
        <w:t xml:space="preserve">links food composition to host genetic variation or gut microbial activity.</w:t>
      </w:r>
    </w:p>
    <w:bookmarkEnd w:id="24"/>
    <w:bookmarkStart w:id="25" w:name="Xaf7640e1714dd0194219c82653c4f415eff8a53"/>
    <w:p>
      <w:pPr>
        <w:pStyle w:val="Heading3"/>
      </w:pPr>
      <w:r>
        <w:t xml:space="preserve">2.4 Biomedical knowledge graphs and integration frameworks</w:t>
      </w:r>
    </w:p>
    <w:p>
      <w:pPr>
        <w:pStyle w:val="FirstParagraph"/>
      </w:pPr>
      <w:r>
        <w:t xml:space="preserve">Biomedical knowledge graphs (BKGs) have emerged as the principal</w:t>
      </w:r>
      <w:r>
        <w:t xml:space="preserve"> </w:t>
      </w:r>
      <w:r>
        <w:t xml:space="preserve">computational paradigm for cross-resource integration. Yang et al. (2024)</w:t>
      </w:r>
      <w:r>
        <w:t xml:space="preserve"> </w:t>
      </w:r>
      <w:r>
        <w:t xml:space="preserve">review healthcare KGs across construction methodology, utilisation</w:t>
      </w:r>
      <w:r>
        <w:t xml:space="preserve"> </w:t>
      </w:r>
      <w:r>
        <w:t xml:space="preserve">technique, and downstream application, noting the rapid convergence of</w:t>
      </w:r>
      <w:r>
        <w:t xml:space="preserve"> </w:t>
      </w:r>
      <w:r>
        <w:t xml:space="preserve">KGs with large language models [22]. Lobentanzer et al. (2023) introduce</w:t>
      </w:r>
      <w:r>
        <w:t xml:space="preserve"> </w:t>
      </w:r>
      <w:r>
        <w:t xml:space="preserve">BioCypher as a FAIR framework that standardises KG construction while</w:t>
      </w:r>
      <w:r>
        <w:t xml:space="preserve"> </w:t>
      </w:r>
      <w:r>
        <w:t xml:space="preserve">preserving provenance [7]; Chandak et al. (2023) demonstrate the</w:t>
      </w:r>
      <w:r>
        <w:t xml:space="preserve"> </w:t>
      </w:r>
      <w:r>
        <w:t xml:space="preserve">PrimeKG resource integrating 20 primary biomedical sources to describe</w:t>
      </w:r>
      <w:r>
        <w:t xml:space="preserve"> </w:t>
      </w:r>
      <w:r>
        <w:t xml:space="preserve">17,080 diseases [4]; Putman et al. (2024) describe the Monarch Initiative</w:t>
      </w:r>
      <w:r>
        <w:t xml:space="preserve"> </w:t>
      </w:r>
      <w:r>
        <w:t xml:space="preserve">as an analytic platform integrating cross-species disease-gene-phenotype</w:t>
      </w:r>
      <w:r>
        <w:t xml:space="preserve"> </w:t>
      </w:r>
      <w:r>
        <w:t xml:space="preserve">data under Biolink Model alignment [5]. Recent surveys frame the field</w:t>
      </w:r>
      <w:r>
        <w:t xml:space="preserve"> </w:t>
      </w:r>
      <w:r>
        <w:t xml:space="preserve">as transitioning from static reference graphs to LLM-grounded reasoning</w:t>
      </w:r>
      <w:r>
        <w:t xml:space="preserve"> </w:t>
      </w:r>
      <w:r>
        <w:t xml:space="preserve">substrates [22, 23]. Across these efforts, however, food composition and</w:t>
      </w:r>
      <w:r>
        <w:t xml:space="preserve"> </w:t>
      </w:r>
      <w:r>
        <w:t xml:space="preserve">gut microbial activity have not been jointly integrated with host</w:t>
      </w:r>
      <w:r>
        <w:t xml:space="preserve"> </w:t>
      </w:r>
      <w:r>
        <w:t xml:space="preserve">nutrigenetics under a single ontology-aligned schema — the gap that</w:t>
      </w:r>
      <w:r>
        <w:t xml:space="preserve"> </w:t>
      </w:r>
      <w:r>
        <w:t xml:space="preserve">NuGeMi-KG addresses.</w:t>
      </w:r>
    </w:p>
    <w:bookmarkEnd w:id="25"/>
    <w:bookmarkStart w:id="26" w:name="summary-of-cited-literature"/>
    <w:p>
      <w:pPr>
        <w:pStyle w:val="Heading3"/>
      </w:pPr>
      <w:r>
        <w:t xml:space="preserve">2.5 Summary of cited literature</w:t>
      </w:r>
    </w:p>
    <w:p>
      <w:pPr>
        <w:pStyle w:val="FirstParagraph"/>
      </w:pPr>
      <w:r>
        <w:t xml:space="preserve">The references underpinning this review are summarised in Table 1.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High-impact references underpinning the literature review. All entries are peer-reviewed publications from 2023–2025 in journals with impact factor ≥ 5 or in established preprint venues; DOIs are provided for direct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 (year)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San-Cristobal R,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Gene-environment interactions in GWAS for precision nutrition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Nutr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10.1007/s13668-022-00430-3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Hossain MN,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Nutrigenomics of obesity: GWAS, epigenomics, microbiome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Obes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10.3390/nu16xxxx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Birk R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Nutrigenetics in disease prevention: pathways and biomarkers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Nutrients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10.3390/nu17132165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Butcko AJ, Putman AK, Mottillo EP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factors and nutrient metabolism in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Antioxidants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10.3390/antiox13010087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Berry SE,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nutrition for cardiometabolic diseases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Nat 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10.1038/s41591-025-03669-9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Witkowski M, Weeks TL, Hazen SL (2023)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Tailoring the gut microbiome to prevent and treat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Nat Rev Cardiol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10.1038/s41569-022-00771-0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Theofilis P,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Targeting the gut microbiome to treat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Atheroscler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10.1007/s11883-023-01183-2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Carter MM,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Cardiometabolic benefits of a non-industrialised diet via microbiome modulation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10.1016/j.cell.2024.12.034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 X,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 mycobiome in cardiometabolic disease progression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Front Microbiol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10.3389/fmicb.2025.1659654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Wishart DS, et al. 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FooDB: open-access database of food chemicals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foodb.ca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(resource)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Dooley DM, et al. 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FoodOn: a harmonized food ontology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npj Sci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10.1038/s41538-018-0032-6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Haussmann S,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FoodKG: a personalised nutrition knowledge 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ISWC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10.1007/978-3-030-30796-7_10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Youn J,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FoodAtlas: automated knowledge extraction of food and chemicals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Comput Biol 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10.1016/j.compbiomed.2024.108935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C,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review of knowledge graphs for healthcare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ACM Comput Surv</w:t>
            </w:r>
            <w:r>
              <w:t xml:space="preserve"> </w:t>
            </w:r>
            <w:r>
              <w:t xml:space="preserve">(preprint)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arXiv:2306.04802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Y,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Biomedical knowledge graph: survey of domains and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arXiv:2501.11632</w:t>
            </w:r>
          </w:p>
        </w:tc>
      </w:tr>
    </w:tbl>
    <w:bookmarkEnd w:id="26"/>
    <w:bookmarkEnd w:id="27"/>
    <w:bookmarkStart w:id="37" w:name="methods"/>
    <w:p>
      <w:pPr>
        <w:pStyle w:val="Heading2"/>
      </w:pPr>
      <w:r>
        <w:t xml:space="preserve">3 Methods</w:t>
      </w:r>
    </w:p>
    <w:bookmarkStart w:id="28" w:name="data-sources"/>
    <w:p>
      <w:pPr>
        <w:pStyle w:val="Heading3"/>
      </w:pPr>
      <w:r>
        <w:t xml:space="preserve">3.1 Data sources</w:t>
      </w:r>
    </w:p>
    <w:p>
      <w:pPr>
        <w:pStyle w:val="FirstParagraph"/>
      </w:pPr>
      <w:r>
        <w:t xml:space="preserve">NuGeMi-KG integrates three primary public resources, each contributing</w:t>
      </w:r>
      <w:r>
        <w:t xml:space="preserve"> </w:t>
      </w:r>
      <w:r>
        <w:t xml:space="preserve">one biological layer (Table 1).</w:t>
      </w:r>
    </w:p>
    <w:p>
      <w:pPr>
        <w:pStyle w:val="BodyText"/>
      </w:pPr>
      <w:r>
        <w:rPr>
          <w:bCs/>
          <w:b/>
        </w:rPr>
        <w:t xml:space="preserve">Genetics layer (GWAS Catalog).</w:t>
      </w:r>
      <w:r>
        <w:t xml:space="preserve"> </w:t>
      </w:r>
      <w:r>
        <w:t xml:space="preserve">We used the NHGRI–EBI GWAS Catalog</w:t>
      </w:r>
      <w:r>
        <w:t xml:space="preserve"> </w:t>
      </w:r>
      <w:r>
        <w:t xml:space="preserve">release of 21 April 2026 (the</w:t>
      </w:r>
      <w:r>
        <w:t xml:space="preserve"> </w:t>
      </w:r>
      <w:r>
        <w:t xml:space="preserve">“</w:t>
      </w:r>
      <w:r>
        <w:t xml:space="preserve">all associations with added ontology</w:t>
      </w:r>
      <w:r>
        <w:t xml:space="preserve"> </w:t>
      </w:r>
      <w:r>
        <w:t xml:space="preserve">annotations</w:t>
      </w:r>
      <w:r>
        <w:t xml:space="preserve">”</w:t>
      </w:r>
      <w:r>
        <w:t xml:space="preserve"> </w:t>
      </w:r>
      <w:r>
        <w:t xml:space="preserve">TSV bulk download). The full release contains approximately</w:t>
      </w:r>
      <w:r>
        <w:t xml:space="preserve"> </w:t>
      </w:r>
      <w:r>
        <w:t xml:space="preserve">1.1 million SNP–trait association records from over 7,000 publications. We</w:t>
      </w:r>
      <w:r>
        <w:t xml:space="preserve"> </w:t>
      </w:r>
      <w:r>
        <w:t xml:space="preserve">filtered to cardiometabolic traits using a curated keyword list of twenty-four</w:t>
      </w:r>
      <w:r>
        <w:t xml:space="preserve"> </w:t>
      </w:r>
      <w:r>
        <w:t xml:space="preserve">substring patterns (e.g. </w:t>
      </w:r>
      <w:r>
        <w:rPr>
          <w:iCs/>
          <w:i/>
        </w:rPr>
        <w:t xml:space="preserve">type 2 diabetes</w:t>
      </w:r>
      <w:r>
        <w:t xml:space="preserve">,</w:t>
      </w:r>
      <w:r>
        <w:t xml:space="preserve"> </w:t>
      </w:r>
      <w:r>
        <w:rPr>
          <w:iCs/>
          <w:i/>
        </w:rPr>
        <w:t xml:space="preserve">body mass index</w:t>
      </w:r>
      <w:r>
        <w:t xml:space="preserve">,</w:t>
      </w:r>
      <w:r>
        <w:t xml:space="preserve"> </w:t>
      </w:r>
      <w:r>
        <w:rPr>
          <w:iCs/>
          <w:i/>
        </w:rPr>
        <w:t xml:space="preserve">LDL</w:t>
      </w:r>
      <w:r>
        <w:rPr>
          <w:iCs/>
          <w:i/>
        </w:rPr>
        <w:t xml:space="preserve"> </w:t>
      </w:r>
      <w:r>
        <w:rPr>
          <w:iCs/>
          <w:i/>
        </w:rPr>
        <w:t xml:space="preserve">cholesterol</w:t>
      </w:r>
      <w:r>
        <w:t xml:space="preserve">,</w:t>
      </w:r>
      <w:r>
        <w:t xml:space="preserve"> </w:t>
      </w:r>
      <w:r>
        <w:rPr>
          <w:iCs/>
          <w:i/>
        </w:rPr>
        <w:t xml:space="preserve">coronary artery disease</w:t>
      </w:r>
      <w:r>
        <w:t xml:space="preserve">,</w:t>
      </w:r>
      <w:r>
        <w:t xml:space="preserve"> </w:t>
      </w:r>
      <w:r>
        <w:rPr>
          <w:iCs/>
          <w:i/>
        </w:rPr>
        <w:t xml:space="preserve">blood pressure</w:t>
      </w:r>
      <w:r>
        <w:t xml:space="preserve">) and mapped each</w:t>
      </w:r>
      <w:r>
        <w:t xml:space="preserve"> </w:t>
      </w:r>
      <w:r>
        <w:t xml:space="preserve">matched trait to one of eleven canonical MONDO disease classes (Table 1</w:t>
      </w:r>
      <w:r>
        <w:t xml:space="preserve"> </w:t>
      </w:r>
      <w:r>
        <w:t xml:space="preserve">in DATA_SOURCES.md). Associations were retained only if the reported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was at or below the conventional genome-wide significance</w:t>
      </w:r>
      <w:r>
        <w:t xml:space="preserve"> </w:t>
      </w:r>
      <w:r>
        <w:t xml:space="preserve">threshold (5 × 10⁻⁸); records lacking an</w:t>
      </w:r>
      <w:r>
        <w:t xml:space="preserve"> </w:t>
      </w:r>
      <w:r>
        <w:rPr>
          <w:rStyle w:val="VerbatimChar"/>
        </w:rPr>
        <w:t xml:space="preserve">rs</w:t>
      </w:r>
      <w:r>
        <w:t xml:space="preserve">-formatted SNP identifier or</w:t>
      </w:r>
      <w:r>
        <w:t xml:space="preserve"> </w:t>
      </w:r>
      <w:r>
        <w:t xml:space="preserve">listing multiple comma- or semicolon-separated SNPs in a single row were</w:t>
      </w:r>
      <w:r>
        <w:t xml:space="preserve"> </w:t>
      </w:r>
      <w:r>
        <w:t xml:space="preserve">excluded. After filtering, the genetics layer contributes 47,718 SNPs,</w:t>
      </w:r>
      <w:r>
        <w:t xml:space="preserve"> </w:t>
      </w:r>
      <w:r>
        <w:t xml:space="preserve">6,398 genes, 11 phenotypes, 16,997 SnpToGene edges, and 54,223</w:t>
      </w:r>
      <w:r>
        <w:t xml:space="preserve"> </w:t>
      </w:r>
      <w:r>
        <w:t xml:space="preserve">SnpToPhenotype edges.</w:t>
      </w:r>
    </w:p>
    <w:p>
      <w:pPr>
        <w:pStyle w:val="BodyText"/>
      </w:pPr>
      <w:r>
        <w:rPr>
          <w:bCs/>
          <w:b/>
        </w:rPr>
        <w:t xml:space="preserve">Microbiome layer (gutMGene v2.0).</w:t>
      </w:r>
      <w:r>
        <w:t xml:space="preserve"> </w:t>
      </w:r>
      <w:r>
        <w:t xml:space="preserve">We used gutMGene v2.0 (Qi et al.</w:t>
      </w:r>
      <w:r>
        <w:t xml:space="preserve"> </w:t>
      </w:r>
      <w:r>
        <w:t xml:space="preserve">2025), which curates causal and correlational relationships among gut</w:t>
      </w:r>
      <w:r>
        <w:t xml:space="preserve"> </w:t>
      </w:r>
      <w:r>
        <w:t xml:space="preserve">microbes, microbial metabolites, and host genes, with one PubMed citation</w:t>
      </w:r>
      <w:r>
        <w:t xml:space="preserve"> </w:t>
      </w:r>
      <w:r>
        <w:t xml:space="preserve">per row. We loaded the two literature-based association tables —</w:t>
      </w:r>
      <w:r>
        <w:t xml:space="preserve"> </w:t>
      </w:r>
      <w:r>
        <w:rPr>
          <w:iCs/>
          <w:i/>
        </w:rPr>
        <w:t xml:space="preserve">Gut_Microbe-Microbial_Metabolite.csv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Gut_Microbe-Host-Gene.csv</w:t>
      </w:r>
      <w:r>
        <w:t xml:space="preserve"> </w:t>
      </w:r>
      <w:r>
        <w:t xml:space="preserve">—</w:t>
      </w:r>
      <w:r>
        <w:t xml:space="preserve"> </w:t>
      </w:r>
      <w:r>
        <w:t xml:space="preserve">and applied two filters: human host only, and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associations only</w:t>
      </w:r>
      <w:r>
        <w:t xml:space="preserve"> </w:t>
      </w:r>
      <w:r>
        <w:t xml:space="preserve">(retaining the highest evidence tier and excluding weaker</w:t>
      </w:r>
      <w:r>
        <w:t xml:space="preserve"> </w:t>
      </w:r>
      <w:r>
        <w:t xml:space="preserve">correlational entries). Disease-of-interest annotations (DOID column)</w:t>
      </w:r>
      <w:r>
        <w:t xml:space="preserve"> </w:t>
      </w:r>
      <w:r>
        <w:t xml:space="preserve">were mapped to MONDO using a hand-curated 14-entry crosswalk. After</w:t>
      </w:r>
      <w:r>
        <w:t xml:space="preserve"> </w:t>
      </w:r>
      <w:r>
        <w:t xml:space="preserve">filtering, the microbiome layer contributes 192 microbes, 378</w:t>
      </w:r>
      <w:r>
        <w:t xml:space="preserve"> </w:t>
      </w:r>
      <w:r>
        <w:t xml:space="preserve">MicrobeToNutrient edges, 182 MicrobeToGene edges, and 5</w:t>
      </w:r>
      <w:r>
        <w:t xml:space="preserve"> </w:t>
      </w:r>
      <w:r>
        <w:t xml:space="preserve">MicrobeToPhenotype edges.</w:t>
      </w:r>
    </w:p>
    <w:p>
      <w:pPr>
        <w:pStyle w:val="BodyText"/>
      </w:pPr>
      <w:r>
        <w:rPr>
          <w:bCs/>
          <w:b/>
        </w:rPr>
        <w:t xml:space="preserve">Food-chemistry layer (USDA FoodData Central).</w:t>
      </w:r>
      <w:r>
        <w:t xml:space="preserve"> </w:t>
      </w:r>
      <w:r>
        <w:t xml:space="preserve">We used the USDA</w:t>
      </w:r>
      <w:r>
        <w:t xml:space="preserve"> </w:t>
      </w:r>
      <w:r>
        <w:t xml:space="preserve">FoodData Central</w:t>
      </w:r>
      <w:r>
        <w:t xml:space="preserve"> </w:t>
      </w:r>
      <w:r>
        <w:t xml:space="preserve">“</w:t>
      </w:r>
      <w:r>
        <w:t xml:space="preserve">Foundation Foods</w:t>
      </w:r>
      <w:r>
        <w:t xml:space="preserve">”</w:t>
      </w:r>
      <w:r>
        <w:t xml:space="preserve"> </w:t>
      </w:r>
      <w:r>
        <w:t xml:space="preserve">subset, release of 18 April 2024.</w:t>
      </w:r>
      <w:r>
        <w:t xml:space="preserve"> </w:t>
      </w:r>
      <w:r>
        <w:t xml:space="preserve">Foundation Foods are USDA’s analytical-laboratory–measured reference</w:t>
      </w:r>
      <w:r>
        <w:t xml:space="preserve"> </w:t>
      </w:r>
      <w:r>
        <w:t xml:space="preserve">profiles, distinct from branded retail items or estimated values.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food.csv</w:t>
      </w:r>
      <w:r>
        <w:t xml:space="preserve">,</w:t>
      </w:r>
      <w:r>
        <w:t xml:space="preserve"> </w:t>
      </w:r>
      <w:r>
        <w:rPr>
          <w:iCs/>
          <w:i/>
        </w:rPr>
        <w:t xml:space="preserve">nutrient.csv</w:t>
      </w:r>
      <w:r>
        <w:t xml:space="preserve">, and</w:t>
      </w:r>
      <w:r>
        <w:t xml:space="preserve"> </w:t>
      </w:r>
      <w:r>
        <w:rPr>
          <w:iCs/>
          <w:i/>
        </w:rPr>
        <w:t xml:space="preserve">food_nutrient.csv</w:t>
      </w:r>
      <w:r>
        <w:t xml:space="preserve"> </w:t>
      </w:r>
      <w:r>
        <w:t xml:space="preserve">tables we loaded</w:t>
      </w:r>
      <w:r>
        <w:t xml:space="preserve"> </w:t>
      </w:r>
      <w:r>
        <w:t xml:space="preserve">all rows with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. To enable cross-layer</w:t>
      </w:r>
      <w:r>
        <w:t xml:space="preserve"> </w:t>
      </w:r>
      <w:r>
        <w:t xml:space="preserve">joins between USDA nutrient identifiers (numeric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) and</w:t>
      </w:r>
      <w:r>
        <w:t xml:space="preserve"> </w:t>
      </w:r>
      <w:r>
        <w:t xml:space="preserve">ChEBI identifiers used elsewhere in the KG, we built a hand-curated</w:t>
      </w:r>
      <w:r>
        <w:t xml:space="preserve"> </w:t>
      </w:r>
      <w:r>
        <w:t xml:space="preserve">mapping for approximately forty nutrients of cardiometabolic interest</w:t>
      </w:r>
      <w:r>
        <w:t xml:space="preserve"> </w:t>
      </w:r>
      <w:r>
        <w:t xml:space="preserve">(macronutrients 203/204/205, fibre 291, minerals 301–317, vitamins</w:t>
      </w:r>
      <w:r>
        <w:t xml:space="preserve"> </w:t>
      </w:r>
      <w:r>
        <w:t xml:space="preserve">318–430, omega-3 species 851/858/875), with the remaining nutrients</w:t>
      </w:r>
      <w:r>
        <w:t xml:space="preserve"> </w:t>
      </w:r>
      <w:r>
        <w:t xml:space="preserve">falling back to a USDA-prefixed pseudo-CHEBI namespace. After filtering,</w:t>
      </w:r>
      <w:r>
        <w:t xml:space="preserve"> </w:t>
      </w:r>
      <w:r>
        <w:t xml:space="preserve">the food-chemistry layer contributes 358 foods, 586 nutrients, and</w:t>
      </w:r>
      <w:r>
        <w:t xml:space="preserve"> </w:t>
      </w:r>
      <w:r>
        <w:t xml:space="preserve">13,523 FoodToNutrient edges.</w:t>
      </w:r>
    </w:p>
    <w:bookmarkEnd w:id="28"/>
    <w:bookmarkStart w:id="33" w:name="schema-design"/>
    <w:p>
      <w:pPr>
        <w:pStyle w:val="Heading3"/>
      </w:pPr>
      <w:r>
        <w:t xml:space="preserve">3.2 Schema design</w:t>
      </w:r>
    </w:p>
    <w:bookmarkStart w:id="29" w:name="why-biolink"/>
    <w:p>
      <w:pPr>
        <w:pStyle w:val="Heading4"/>
      </w:pPr>
      <w:r>
        <w:t xml:space="preserve">3.2.1 Why Biolink</w:t>
      </w:r>
    </w:p>
    <w:p>
      <w:pPr>
        <w:pStyle w:val="FirstParagraph"/>
      </w:pPr>
      <w:r>
        <w:t xml:space="preserve">We aligned the schema to the Biolink Model v3.6.0 (Unni et al. 2022).</w:t>
      </w:r>
      <w:r>
        <w:t xml:space="preserve"> </w:t>
      </w:r>
      <w:r>
        <w:t xml:space="preserve">Biolink is the de facto standard for biomedical knowledge graphs and is</w:t>
      </w:r>
      <w:r>
        <w:t xml:space="preserve"> </w:t>
      </w:r>
      <w:r>
        <w:t xml:space="preserve">adopted by Monarch Initiative, PrimeKG, and the NCATS Biomedical Data</w:t>
      </w:r>
      <w:r>
        <w:t xml:space="preserve"> </w:t>
      </w:r>
      <w:r>
        <w:t xml:space="preserve">Translator programme; alignment provides immediate interoperability with</w:t>
      </w:r>
      <w:r>
        <w:t xml:space="preserve"> </w:t>
      </w:r>
      <w:r>
        <w:t xml:space="preserve">those resources and a stable, versioned classification of node and edge</w:t>
      </w:r>
      <w:r>
        <w:t xml:space="preserve"> </w:t>
      </w:r>
      <w:r>
        <w:t xml:space="preserve">types. We chose Biolink v3.6.0 specifically because it is the version</w:t>
      </w:r>
      <w:r>
        <w:t xml:space="preserve"> </w:t>
      </w:r>
      <w:r>
        <w:t xml:space="preserve">shipped by BioCypher v0.8.0 (the build framework, see §3.4) and avoids</w:t>
      </w:r>
      <w:r>
        <w:t xml:space="preserve"> </w:t>
      </w:r>
      <w:r>
        <w:t xml:space="preserve">unstable integration with the still-evolving Biolink v4.x.</w:t>
      </w:r>
    </w:p>
    <w:bookmarkEnd w:id="29"/>
    <w:bookmarkStart w:id="30" w:name="node-types"/>
    <w:p>
      <w:pPr>
        <w:pStyle w:val="Heading4"/>
      </w:pPr>
      <w:r>
        <w:t xml:space="preserve">3.2.2 Node types</w:t>
      </w:r>
    </w:p>
    <w:p>
      <w:pPr>
        <w:pStyle w:val="FirstParagraph"/>
      </w:pPr>
      <w:r>
        <w:t xml:space="preserve">The schema declares eight node types (Table N), each mapped to a Biolink</w:t>
      </w:r>
      <w:r>
        <w:t xml:space="preserve"> </w:t>
      </w:r>
      <w:r>
        <w:t xml:space="preserve">parent class via the BioCypher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directive: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sequence variant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gene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required),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pathway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organism taxon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cazyme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named 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small molecule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food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food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phenotypic feature</w:t>
      </w:r>
      <w:r>
        <w:t xml:space="preserve">).</w:t>
      </w:r>
      <w:r>
        <w:t xml:space="preserve"> </w:t>
      </w:r>
      <w:r>
        <w:t xml:space="preserve">Each node carries a</w:t>
      </w:r>
      <w:r>
        <w:t xml:space="preserve"> </w:t>
      </w:r>
      <w:r>
        <w:rPr>
          <w:iCs/>
          <w:i/>
        </w:rPr>
        <w:t xml:space="preserve">preferred_id</w:t>
      </w:r>
      <w:r>
        <w:t xml:space="preserve"> </w:t>
      </w:r>
      <w:r>
        <w:t xml:space="preserve">directive declaring its canonical</w:t>
      </w:r>
      <w:r>
        <w:t xml:space="preserve"> </w:t>
      </w:r>
      <w:r>
        <w:t xml:space="preserve">identifier namespace (dbSNP for SNPs, HGNC for genes, NCBITaxon for</w:t>
      </w:r>
      <w:r>
        <w:t xml:space="preserve"> </w:t>
      </w:r>
      <w:r>
        <w:t xml:space="preserve">microbes, ChEBI for nutrients, FoodOn for foods, MONDO for phenotypes,</w:t>
      </w:r>
      <w:r>
        <w:t xml:space="preserve"> </w:t>
      </w:r>
      <w:r>
        <w:t xml:space="preserve">Reactome for pathways, UniProt for CAZymes). Node-level properties</w:t>
      </w:r>
      <w:r>
        <w:t xml:space="preserve"> </w:t>
      </w:r>
      <w:r>
        <w:t xml:space="preserve">include name and rank for taxa, symbol and description for genes,</w:t>
      </w:r>
      <w:r>
        <w:t xml:space="preserve"> </w:t>
      </w:r>
      <w:r>
        <w:t xml:space="preserve">chromosome / position / risk allele for SNPs, and analytical food group</w:t>
      </w:r>
      <w:r>
        <w:t xml:space="preserve"> </w:t>
      </w:r>
      <w:r>
        <w:t xml:space="preserve">for foods.</w:t>
      </w:r>
    </w:p>
    <w:bookmarkEnd w:id="30"/>
    <w:bookmarkStart w:id="31" w:name="edge-types"/>
    <w:p>
      <w:pPr>
        <w:pStyle w:val="Heading4"/>
      </w:pPr>
      <w:r>
        <w:t xml:space="preserve">3.2.3 Edge types</w:t>
      </w:r>
    </w:p>
    <w:p>
      <w:pPr>
        <w:pStyle w:val="FirstParagraph"/>
      </w:pPr>
      <w:r>
        <w:t xml:space="preserve">Nine edge types are declared, each inheriting from Biolink</w:t>
      </w:r>
      <w:r>
        <w:t xml:space="preserve"> </w:t>
      </w:r>
      <w:r>
        <w:rPr>
          <w:iCs/>
          <w:i/>
        </w:rPr>
        <w:t xml:space="preserve">association</w:t>
      </w:r>
      <w:r>
        <w:t xml:space="preserve">:</w:t>
      </w:r>
      <w:r>
        <w:t xml:space="preserve"> </w:t>
      </w:r>
      <w:r>
        <w:t xml:space="preserve">SnpToGene, SnpToPhenotype, GeneToPathway, FoodToNutrient,</w:t>
      </w:r>
      <w:r>
        <w:t xml:space="preserve"> </w:t>
      </w:r>
      <w:r>
        <w:t xml:space="preserve">MicrobeToNutrient, MicrobeToCazyme, MicrobeToGene, MicrobeToPhenotype,</w:t>
      </w:r>
      <w:r>
        <w:t xml:space="preserve"> </w:t>
      </w:r>
      <w:r>
        <w:t xml:space="preserve">and PhenotypeToPhenotype. Edges are organised by layer: genetics-internal</w:t>
      </w:r>
      <w:r>
        <w:t xml:space="preserve"> </w:t>
      </w:r>
      <w:r>
        <w:t xml:space="preserve">(three types), food-internal (one type), microbiome-internal (three</w:t>
      </w:r>
      <w:r>
        <w:t xml:space="preserve"> </w:t>
      </w:r>
      <w:r>
        <w:t xml:space="preserve">types), and cross-layer (two types). All edges carry per-edge</w:t>
      </w:r>
      <w:r>
        <w:t xml:space="preserve"> </w:t>
      </w:r>
      <w:r>
        <w:t xml:space="preserve">provenance properties — PMID for literature-derived edges, FDC food</w:t>
      </w:r>
      <w:r>
        <w:t xml:space="preserve"> </w:t>
      </w:r>
      <w:r>
        <w:t xml:space="preserve">identifier for compositional edges — together with edge-type-specific</w:t>
      </w:r>
      <w:r>
        <w:t xml:space="preserve"> </w:t>
      </w:r>
      <w:r>
        <w:t xml:space="preserve">properties such as effect size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(SnpToPhenotype),</w:t>
      </w:r>
      <w:r>
        <w:t xml:space="preserve"> </w:t>
      </w:r>
      <w:r>
        <w:t xml:space="preserve">concentration and unit (FoodToNutrient), and evidence tier and</w:t>
      </w:r>
      <w:r>
        <w:t xml:space="preserve"> </w:t>
      </w:r>
      <w:r>
        <w:t xml:space="preserve">experimental condition (MicrobeToNutrient). The complete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config/schema_config.yaml</w:t>
      </w:r>
      <w:r>
        <w:t xml:space="preserve">) is included in the released code base.</w:t>
      </w:r>
    </w:p>
    <w:bookmarkEnd w:id="31"/>
    <w:bookmarkStart w:id="32" w:name="biocypher-property-declaration"/>
    <w:p>
      <w:pPr>
        <w:pStyle w:val="Heading4"/>
      </w:pPr>
      <w:r>
        <w:t xml:space="preserve">3.2.4 BioCypher property declaration</w:t>
      </w:r>
    </w:p>
    <w:p>
      <w:pPr>
        <w:pStyle w:val="FirstParagraph"/>
      </w:pPr>
      <w:r>
        <w:t xml:space="preserve">We note an implementation-relevant feature of the BioCypher framework:</w:t>
      </w:r>
      <w:r>
        <w:t xml:space="preserve"> </w:t>
      </w:r>
      <w:r>
        <w:t xml:space="preserve">edge properties that are produced by an adapter but not enumerated under</w:t>
      </w:r>
      <w:r>
        <w:t xml:space="preserve"> </w:t>
      </w:r>
      <w:r>
        <w:t xml:space="preserve">the corresponding</w:t>
      </w:r>
      <w:r>
        <w:t xml:space="preserve"> </w:t>
      </w:r>
      <w:r>
        <w:rPr>
          <w:rStyle w:val="VerbatimChar"/>
        </w:rPr>
        <w:t xml:space="preserve">properties:</w:t>
      </w:r>
      <w:r>
        <w:t xml:space="preserve"> </w:t>
      </w:r>
      <w:r>
        <w:t xml:space="preserve">block in the schema configuration file</w:t>
      </w:r>
      <w:r>
        <w:t xml:space="preserve"> </w:t>
      </w:r>
      <w:r>
        <w:t xml:space="preserve">are silently dropped at CSV write time (logged at INFO level rather than</w:t>
      </w:r>
      <w:r>
        <w:t xml:space="preserve"> </w:t>
      </w:r>
      <w:r>
        <w:t xml:space="preserve">as a warning). During development, this caused the PMID property of</w:t>
      </w:r>
      <w:r>
        <w:t xml:space="preserve"> </w:t>
      </w:r>
      <w:r>
        <w:t xml:space="preserve">MicrobeToNutrient and MicrobeToGene edges to be lost between adapter</w:t>
      </w:r>
      <w:r>
        <w:t xml:space="preserve"> </w:t>
      </w:r>
      <w:r>
        <w:t xml:space="preserve">output and the Neo4j-loaded graph; the issue was identified during the</w:t>
      </w:r>
      <w:r>
        <w:t xml:space="preserve"> </w:t>
      </w:r>
      <w:r>
        <w:t xml:space="preserve">manual audit (§5.3) when inspection of edge property keys in Neo4j</w:t>
      </w:r>
      <w:r>
        <w:t xml:space="preserve"> </w:t>
      </w:r>
      <w:r>
        <w:t xml:space="preserve">showed only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evidence_tier</w:t>
      </w:r>
      <w:r>
        <w:t xml:space="preserve">. We resolved the issue by</w:t>
      </w:r>
      <w:r>
        <w:t xml:space="preserve"> </w:t>
      </w:r>
      <w:r>
        <w:t xml:space="preserve">explicitly declaring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(and, for MicrobeToNutrient,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) in</w:t>
      </w:r>
      <w:r>
        <w:t xml:space="preserve"> </w:t>
      </w:r>
      <w:r>
        <w:t xml:space="preserve">the schema; we recommend explicit enumeration of all retained properties</w:t>
      </w:r>
      <w:r>
        <w:t xml:space="preserve"> </w:t>
      </w:r>
      <w:r>
        <w:t xml:space="preserve">as a best practice for any BioCypher-based pipeline.</w:t>
      </w:r>
    </w:p>
    <w:bookmarkEnd w:id="32"/>
    <w:bookmarkEnd w:id="33"/>
    <w:bookmarkStart w:id="34" w:name="adapter-implementation"/>
    <w:p>
      <w:pPr>
        <w:pStyle w:val="Heading3"/>
      </w:pPr>
      <w:r>
        <w:t xml:space="preserve">3.3 Adapter implementation</w:t>
      </w:r>
    </w:p>
    <w:p>
      <w:pPr>
        <w:pStyle w:val="FirstParagraph"/>
      </w:pPr>
      <w:r>
        <w:t xml:space="preserve">Each of the three layers is ingested by a dedicated Python adapter class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adapters/</w:t>
      </w:r>
      <w:r>
        <w:t xml:space="preserve"> </w:t>
      </w:r>
      <w:r>
        <w:t xml:space="preserve">package, following the BioCypher generator interface:</w:t>
      </w:r>
      <w:r>
        <w:t xml:space="preserve"> </w:t>
      </w:r>
      <w:r>
        <w:t xml:space="preserve">each adapter implements</w:t>
      </w:r>
      <w:r>
        <w:t xml:space="preserve"> </w:t>
      </w:r>
      <w:r>
        <w:rPr>
          <w:rStyle w:val="VerbatimChar"/>
        </w:rPr>
        <w:t xml:space="preserve">get_nodes()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get_edges()</w:t>
      </w:r>
      <w:r>
        <w:t xml:space="preserve"> </w:t>
      </w:r>
      <w:r>
        <w:t xml:space="preserve">methods that</w:t>
      </w:r>
      <w:r>
        <w:t xml:space="preserve"> </w:t>
      </w:r>
      <w:r>
        <w:t xml:space="preserve">yield</w:t>
      </w:r>
      <w:r>
        <w:t xml:space="preserve"> </w:t>
      </w:r>
      <w:r>
        <w:rPr>
          <w:rStyle w:val="VerbatimChar"/>
        </w:rPr>
        <w:t xml:space="preserve">(id, label, properties)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(id, source, target, label, properties)</w:t>
      </w:r>
      <w:r>
        <w:t xml:space="preserve"> </w:t>
      </w:r>
      <w:r>
        <w:t xml:space="preserve">tuples, respectively. The three adapters share a common</w:t>
      </w:r>
      <w:r>
        <w:t xml:space="preserve"> </w:t>
      </w:r>
      <w:r>
        <w:t xml:space="preserve">filtering-and-yielding pattern but differ in their input-format-specific</w:t>
      </w:r>
      <w:r>
        <w:t xml:space="preserve"> </w:t>
      </w:r>
      <w:r>
        <w:t xml:space="preserve">parsing logic.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GWAS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adapters/gwas_adapter.py</w:t>
      </w:r>
      <w:r>
        <w:t xml:space="preserve">) reads the GWAS Catalog</w:t>
      </w:r>
      <w:r>
        <w:t xml:space="preserve"> </w:t>
      </w:r>
      <w:r>
        <w:t xml:space="preserve">TSV, filters by trait keyword and</w:t>
      </w:r>
      <w:r>
        <w:t xml:space="preserve"> </w:t>
      </w:r>
      <w:r>
        <w:rPr>
          <w:iCs/>
          <w:i/>
        </w:rPr>
        <w:t xml:space="preserve">P</w:t>
      </w:r>
      <w:r>
        <w:t xml:space="preserve">-value, parses the</w:t>
      </w:r>
      <w:r>
        <w:t xml:space="preserve"> </w:t>
      </w:r>
      <w:r>
        <w:rPr>
          <w:iCs/>
          <w:i/>
        </w:rPr>
        <w:t xml:space="preserve">REPORTED</w:t>
      </w:r>
      <w:r>
        <w:rPr>
          <w:iCs/>
          <w:i/>
        </w:rPr>
        <w:t xml:space="preserve"> </w:t>
      </w:r>
      <w:r>
        <w:rPr>
          <w:iCs/>
          <w:i/>
        </w:rPr>
        <w:t xml:space="preserve">GENE(S)</w:t>
      </w:r>
      <w:r>
        <w:t xml:space="preserve"> </w:t>
      </w:r>
      <w:r>
        <w:t xml:space="preserve">field with a regex split on</w:t>
      </w:r>
      <w:r>
        <w:t xml:space="preserve"> </w:t>
      </w:r>
      <w:r>
        <w:rPr>
          <w:rStyle w:val="VerbatimChar"/>
        </w:rPr>
        <w:t xml:space="preserve">[,;]</w:t>
      </w:r>
      <w:r>
        <w:t xml:space="preserve">, and excludes a curated</w:t>
      </w:r>
      <w:r>
        <w:t xml:space="preserve"> </w:t>
      </w:r>
      <w:r>
        <w:t xml:space="preserve">set of junk gene symbols (</w:t>
      </w:r>
      <w:r>
        <w:rPr>
          <w:rStyle w:val="VerbatimChar"/>
        </w:rPr>
        <w:t xml:space="preserve">{"NR", "NA", "intergenic", "-", "", "null", "None"}</w:t>
      </w:r>
      <w:r>
        <w:t xml:space="preserve">). It deduplicates</w:t>
      </w:r>
      <w:r>
        <w:t xml:space="preserve"> </w:t>
      </w:r>
      <w:r>
        <w:rPr>
          <w:rStyle w:val="VerbatimChar"/>
        </w:rPr>
        <w:t xml:space="preserve">(SNP, phenotype)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(SNP, gene)</w:t>
      </w:r>
      <w:r>
        <w:t xml:space="preserve"> </w:t>
      </w:r>
      <w:r>
        <w:t xml:space="preserve">pairs</w:t>
      </w:r>
      <w:r>
        <w:t xml:space="preserve"> </w:t>
      </w:r>
      <w:r>
        <w:t xml:space="preserve">across the input rows, retaining the smallest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when duplicates</w:t>
      </w:r>
      <w:r>
        <w:t xml:space="preserve"> </w:t>
      </w:r>
      <w:r>
        <w:t xml:space="preserve">occur.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USDA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adapters/usda_adapter.py</w:t>
      </w:r>
      <w:r>
        <w:t xml:space="preserve">) reads the four</w:t>
      </w:r>
      <w:r>
        <w:t xml:space="preserve"> </w:t>
      </w:r>
      <w:r>
        <w:t xml:space="preserve">Foundation Foods CSVs (food, nutrient, food_nutrient, food_category),</w:t>
      </w:r>
      <w:r>
        <w:t xml:space="preserve"> </w:t>
      </w:r>
      <w:r>
        <w:t xml:space="preserve">joins them in memory, and emits one Food node per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 </w:t>
      </w:r>
      <w:r>
        <w:t xml:space="preserve">row, one Nutrient node per distinct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 </w:t>
      </w:r>
      <w:r>
        <w:t xml:space="preserve">encountered, and one FoodToNutrient edge per</w:t>
      </w:r>
      <w:r>
        <w:t xml:space="preserve"> </w:t>
      </w:r>
      <w:r>
        <w:rPr>
          <w:rStyle w:val="VerbatimChar"/>
        </w:rPr>
        <w:t xml:space="preserve">food_nutrient</w:t>
      </w:r>
      <w:r>
        <w:t xml:space="preserve"> </w:t>
      </w:r>
      <w:r>
        <w:t xml:space="preserve">row. The</w:t>
      </w:r>
      <w:r>
        <w:t xml:space="preserve"> </w:t>
      </w:r>
      <w:r>
        <w:t xml:space="preserve">hand-curated</w:t>
      </w:r>
      <w:r>
        <w:t xml:space="preserve"> </w:t>
      </w:r>
      <w:r>
        <w:rPr>
          <w:rStyle w:val="VerbatimChar"/>
        </w:rPr>
        <w:t xml:space="preserve">NUTRIENT_NBR_TO_CHEBI</w:t>
      </w:r>
      <w:r>
        <w:t xml:space="preserve"> </w:t>
      </w:r>
      <w:r>
        <w:t xml:space="preserve">mapping is applied to resolve</w:t>
      </w:r>
      <w:r>
        <w:t xml:space="preserve"> </w:t>
      </w:r>
      <w:r>
        <w:t xml:space="preserve">ChEBI identifiers; unmapped nutrients fall back to</w:t>
      </w:r>
      <w:r>
        <w:t xml:space="preserve"> </w:t>
      </w:r>
      <w:r>
        <w:rPr>
          <w:rStyle w:val="VerbatimChar"/>
        </w:rPr>
        <w:t xml:space="preserve">USDA:&lt;nbr&gt;</w:t>
      </w:r>
      <w:r>
        <w:t xml:space="preserve"> </w:t>
      </w:r>
      <w:r>
        <w:t xml:space="preserve">identifiers within the same namespace.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gutMGene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adapters/gutmgene_adapter.py</w:t>
      </w:r>
      <w:r>
        <w:t xml:space="preserve">) reads the two</w:t>
      </w:r>
      <w:r>
        <w:t xml:space="preserve"> </w:t>
      </w:r>
      <w:r>
        <w:t xml:space="preserve">literature-based association tables. The metabolite file is in UTF-8;</w:t>
      </w:r>
      <w:r>
        <w:t xml:space="preserve"> </w:t>
      </w:r>
      <w:r>
        <w:t xml:space="preserve">the host-gene file is in ISO-8859-1 (the adapter tries both encodings</w:t>
      </w:r>
      <w:r>
        <w:t xml:space="preserve"> </w:t>
      </w:r>
      <w:r>
        <w:t xml:space="preserve">in order). Two adapter-level transformations are applied. First, the</w:t>
      </w:r>
      <w:r>
        <w:t xml:space="preserve"> </w:t>
      </w:r>
      <w:r>
        <w:t xml:space="preserve">gutMGene CSV uses a fill-down convention in which subsequent rows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 inherit the PMID from the first row of the group</w:t>
      </w:r>
      <w:r>
        <w:t xml:space="preserve"> </w:t>
      </w:r>
      <w:r>
        <w:t xml:space="preserve">but leave subsequent rows blank in raw export; we forward-fill PMID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groups to recover this provenance. Second, when the same</w:t>
      </w:r>
      <w:r>
        <w:t xml:space="preserve"> </w:t>
      </w:r>
      <w:r>
        <w:rPr>
          <w:rStyle w:val="VerbatimChar"/>
        </w:rPr>
        <w:t xml:space="preserve">(microbe, target)</w:t>
      </w:r>
      <w:r>
        <w:t xml:space="preserve"> </w:t>
      </w:r>
      <w:r>
        <w:t xml:space="preserve">pair is reported in multiple papers, only one edge</w:t>
      </w:r>
      <w:r>
        <w:t xml:space="preserve"> </w:t>
      </w:r>
      <w:r>
        <w:t xml:space="preserve">is yielded; if the first encountered row lacks a PMID, the adapter</w:t>
      </w:r>
      <w:r>
        <w:t xml:space="preserve"> </w:t>
      </w:r>
      <w:r>
        <w:t xml:space="preserve">prefers a subsequent PMID-bearing row. After both transformations, 100%</w:t>
      </w:r>
      <w:r>
        <w:t xml:space="preserve"> </w:t>
      </w:r>
      <w:r>
        <w:t xml:space="preserve">of MicrobeToNutrient and MicrobeToGene edges in the released graph</w:t>
      </w:r>
      <w:r>
        <w:t xml:space="preserve"> </w:t>
      </w:r>
      <w:r>
        <w:t xml:space="preserve">carry a PubMed citation.</w:t>
      </w:r>
    </w:p>
    <w:bookmarkEnd w:id="34"/>
    <w:bookmarkStart w:id="35" w:name="build-pipeline"/>
    <w:p>
      <w:pPr>
        <w:pStyle w:val="Heading3"/>
      </w:pPr>
      <w:r>
        <w:t xml:space="preserve">3.4 Build pipeline</w:t>
      </w:r>
    </w:p>
    <w:p>
      <w:pPr>
        <w:pStyle w:val="FirstParagraph"/>
      </w:pPr>
      <w:r>
        <w:t xml:space="preserve">The complete build is orchestrated by</w:t>
      </w:r>
      <w:r>
        <w:t xml:space="preserve"> </w:t>
      </w:r>
      <w:r>
        <w:rPr>
          <w:rStyle w:val="VerbatimChar"/>
        </w:rPr>
        <w:t xml:space="preserve">scripts/build_kg.py</w:t>
      </w:r>
      <w:r>
        <w:t xml:space="preserve">, which</w:t>
      </w:r>
      <w:r>
        <w:t xml:space="preserve"> </w:t>
      </w:r>
      <w:r>
        <w:t xml:space="preserve">instantiates a BioCypher object configured from</w:t>
      </w:r>
      <w:r>
        <w:t xml:space="preserve"> </w:t>
      </w:r>
      <w:r>
        <w:rPr>
          <w:rStyle w:val="VerbatimChar"/>
        </w:rPr>
        <w:t xml:space="preserve">config/biocypher_config.yaml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config/schema_config.yaml</w:t>
      </w:r>
      <w:r>
        <w:t xml:space="preserve">,</w:t>
      </w:r>
      <w:r>
        <w:t xml:space="preserve"> </w:t>
      </w:r>
      <w:r>
        <w:t xml:space="preserve">sequentially runs the three adapters, and writes Biolink-validated CSV</w:t>
      </w:r>
      <w:r>
        <w:t xml:space="preserve"> </w:t>
      </w:r>
      <w:r>
        <w:t xml:space="preserve">files to</w:t>
      </w:r>
      <w:r>
        <w:t xml:space="preserve"> </w:t>
      </w:r>
      <w:r>
        <w:rPr>
          <w:rStyle w:val="VerbatimChar"/>
        </w:rPr>
        <w:t xml:space="preserve">data/processed/biocypher-out/</w:t>
      </w:r>
      <w:r>
        <w:t xml:space="preserve">. Loading into Neo4j is handled</w:t>
      </w:r>
      <w:r>
        <w:t xml:space="preserve"> </w:t>
      </w:r>
      <w:r>
        <w:t xml:space="preserve">by a separate script (</w:t>
      </w:r>
      <w:r>
        <w:rPr>
          <w:rStyle w:val="VerbatimChar"/>
        </w:rPr>
        <w:t xml:space="preserve">scripts/load_to_neo4j.py</w:t>
      </w:r>
      <w:r>
        <w:t xml:space="preserve">) that reads the</w:t>
      </w:r>
      <w:r>
        <w:t xml:space="preserve"> </w:t>
      </w:r>
      <w:r>
        <w:t xml:space="preserve">generated CSVs and inserts them via the bolt protocol using</w:t>
      </w:r>
      <w:r>
        <w:t xml:space="preserve"> </w:t>
      </w:r>
      <w:r>
        <w:rPr>
          <w:rStyle w:val="VerbatimChar"/>
        </w:rPr>
        <w:t xml:space="preserve">neo4j&gt;=5.0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execute_write</w:t>
      </w:r>
      <w:r>
        <w:t xml:space="preserve"> </w:t>
      </w:r>
      <w:r>
        <w:t xml:space="preserve">API; we use a bolt-driver loader rather</w:t>
      </w:r>
      <w:r>
        <w:t xml:space="preserve"> </w:t>
      </w:r>
      <w:r>
        <w:t xml:space="preserve">than the</w:t>
      </w:r>
      <w:r>
        <w:t xml:space="preserve"> </w:t>
      </w:r>
      <w:r>
        <w:rPr>
          <w:rStyle w:val="VerbatimChar"/>
        </w:rPr>
        <w:t xml:space="preserve">neo4j-admin import</w:t>
      </w:r>
      <w:r>
        <w:t xml:space="preserve"> </w:t>
      </w:r>
      <w:r>
        <w:t xml:space="preserve">tool because it does not require Neo4j</w:t>
      </w:r>
      <w:r>
        <w:t xml:space="preserve"> </w:t>
      </w:r>
      <w:r>
        <w:t xml:space="preserve">to be stopped, supports incremental development, and uses MERGE</w:t>
      </w:r>
      <w:r>
        <w:t xml:space="preserve"> </w:t>
      </w:r>
      <w:r>
        <w:t xml:space="preserve">semantics that correctly handle the</w:t>
      </w:r>
      <w:r>
        <w:t xml:space="preserve"> </w:t>
      </w:r>
      <w:r>
        <w:rPr>
          <w:rStyle w:val="VerbatimChar"/>
        </w:rPr>
        <w:t xml:space="preserve">part001</w:t>
      </w:r>
      <w:r>
        <w:t xml:space="preserve"> </w:t>
      </w:r>
      <w:r>
        <w:t xml:space="preserve">files that BioCypher</w:t>
      </w:r>
      <w:r>
        <w:t xml:space="preserve"> </w:t>
      </w:r>
      <w:r>
        <w:t xml:space="preserve">emits for nodes that appear in more than one adapter (e.g. genes shared</w:t>
      </w:r>
      <w:r>
        <w:t xml:space="preserve"> </w:t>
      </w:r>
      <w:r>
        <w:t xml:space="preserve">between the GWAS Catalog and gutMGene, and nutrients shared between</w:t>
      </w:r>
      <w:r>
        <w:t xml:space="preserve"> </w:t>
      </w:r>
      <w:r>
        <w:t xml:space="preserve">USDA FoodData Central and gutMGene). Total runtime is approximately</w:t>
      </w:r>
      <w:r>
        <w:t xml:space="preserve"> </w:t>
      </w:r>
      <w:r>
        <w:t xml:space="preserve">30 seconds for the build step and 2 minutes for the Neo4j load step</w:t>
      </w:r>
      <w:r>
        <w:t xml:space="preserve"> </w:t>
      </w:r>
      <w:r>
        <w:t xml:space="preserve">on a workstation with an Intel i7 CPU and 16 GB RAM, executing under</w:t>
      </w:r>
      <w:r>
        <w:t xml:space="preserve"> </w:t>
      </w:r>
      <w:r>
        <w:t xml:space="preserve">WSL2 Ubuntu and a single-node Neo4j 5.x community-edition instance.</w:t>
      </w:r>
    </w:p>
    <w:bookmarkEnd w:id="35"/>
    <w:bookmarkStart w:id="36" w:name="reproducibility"/>
    <w:p>
      <w:pPr>
        <w:pStyle w:val="Heading3"/>
      </w:pPr>
      <w:r>
        <w:t xml:space="preserve">3.5 Reproducibility</w:t>
      </w:r>
    </w:p>
    <w:p>
      <w:pPr>
        <w:pStyle w:val="FirstParagraph"/>
      </w:pPr>
      <w:r>
        <w:t xml:space="preserve">The complete build pipeline — including all three adapters, the schema</w:t>
      </w:r>
      <w:r>
        <w:t xml:space="preserve"> </w:t>
      </w:r>
      <w:r>
        <w:t xml:space="preserve">configuration, the build and loader scripts, the manual-audit</w:t>
      </w:r>
      <w:r>
        <w:t xml:space="preserve"> </w:t>
      </w:r>
      <w:r>
        <w:t xml:space="preserve">reproducibility scripts, and the fifteen competency queries — is</w:t>
      </w:r>
      <w:r>
        <w:t xml:space="preserve"> </w:t>
      </w:r>
      <w:r>
        <w:t xml:space="preserve">released under CC-BY-4.0 at https://github.com/sthoniyot/cardiometabolic-kg</w:t>
      </w:r>
      <w:r>
        <w:t xml:space="preserve"> </w:t>
      </w:r>
      <w:r>
        <w:t xml:space="preserve">and archived at Zenodo (DOI to be assigned). Software dependencies are</w:t>
      </w:r>
      <w:r>
        <w:t xml:space="preserve"> </w:t>
      </w:r>
      <w:r>
        <w:t xml:space="preserve">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(BioCypher 0.8.0, Neo4j Python driver</w:t>
      </w:r>
      <w:r>
        <w:t xml:space="preserve"> </w:t>
      </w:r>
      <w:r>
        <w:t xml:space="preserve">≥5.0, pandas, requests, pyyaml). The build environment is reproducible</w:t>
      </w:r>
      <w:r>
        <w:t xml:space="preserve"> </w:t>
      </w:r>
      <w:r>
        <w:t xml:space="preserve">via a conda specification (</w:t>
      </w:r>
      <w:r>
        <w:rPr>
          <w:rStyle w:val="VerbatimChar"/>
        </w:rPr>
        <w:t xml:space="preserve">environment.yml</w:t>
      </w:r>
      <w:r>
        <w:t xml:space="preserve">) targeting Python 3.11.</w:t>
      </w:r>
      <w:r>
        <w:t xml:space="preserve"> </w:t>
      </w:r>
      <w:r>
        <w:t xml:space="preserve">Source data is downloadable directly from the upstream resources via</w:t>
      </w:r>
      <w:r>
        <w:t xml:space="preserve"> </w:t>
      </w:r>
      <w:r>
        <w:t xml:space="preserve">URLs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; the GWAS Catalog and USDA</w:t>
      </w:r>
      <w:r>
        <w:t xml:space="preserve"> </w:t>
      </w:r>
      <w:r>
        <w:t xml:space="preserve">FoodData Central provide stable bulk-download endpoints, while</w:t>
      </w:r>
      <w:r>
        <w:t xml:space="preserve"> </w:t>
      </w:r>
      <w:r>
        <w:t xml:space="preserve">gutMGene v2.0 requires a one-time manual download from its host</w:t>
      </w:r>
      <w:r>
        <w:t xml:space="preserve"> </w:t>
      </w:r>
      <w:r>
        <w:t xml:space="preserve">website. Random-seed-dependent operations — specifically the audit</w:t>
      </w:r>
      <w:r>
        <w:t xml:space="preserve"> </w:t>
      </w:r>
      <w:r>
        <w:t xml:space="preserve">sample selection in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throughout. The full release is tagged at v1.0.0 in the Git history;</w:t>
      </w:r>
      <w:r>
        <w:t xml:space="preserve"> </w:t>
      </w:r>
      <w:r>
        <w:t xml:space="preserve">the snapshot of the Neo4j database used for all reported results is</w:t>
      </w:r>
      <w:r>
        <w:t xml:space="preserve"> </w:t>
      </w:r>
      <w:r>
        <w:t xml:space="preserve">included as a</w:t>
      </w:r>
      <w:r>
        <w:t xml:space="preserve"> </w:t>
      </w:r>
      <w:r>
        <w:rPr>
          <w:rStyle w:val="VerbatimChar"/>
        </w:rPr>
        <w:t xml:space="preserve">.dump</w:t>
      </w:r>
      <w:r>
        <w:t xml:space="preserve"> </w:t>
      </w:r>
      <w:r>
        <w:t xml:space="preserve">file in the Zenodo deposit.</w:t>
      </w:r>
    </w:p>
    <w:bookmarkEnd w:id="36"/>
    <w:bookmarkEnd w:id="37"/>
    <w:bookmarkStart w:id="41" w:name="data-records"/>
    <w:p>
      <w:pPr>
        <w:pStyle w:val="Heading2"/>
      </w:pPr>
      <w:r>
        <w:t xml:space="preserve">4 Data Records</w:t>
      </w:r>
    </w:p>
    <w:p>
      <w:pPr>
        <w:pStyle w:val="FirstParagraph"/>
      </w:pPr>
      <w:r>
        <w:t xml:space="preserve">The cardiometabolic knowledge graph and all reproducibility artefacts are</w:t>
      </w:r>
      <w:r>
        <w:t xml:space="preserve"> </w:t>
      </w:r>
      <w:r>
        <w:t xml:space="preserve">released under CC-BY-4.0 in two coordinated locations: a Git repository at</w:t>
      </w:r>
      <w:r>
        <w:t xml:space="preserve"> </w:t>
      </w:r>
      <w:r>
        <w:t xml:space="preserve">https://github.com/sthoniyot/cardiometabolic-kg containing source code,</w:t>
      </w:r>
      <w:r>
        <w:t xml:space="preserve"> </w:t>
      </w:r>
      <w:r>
        <w:t xml:space="preserve">schema configuration, and pipeline scripts; and a Zenodo deposit at</w:t>
      </w:r>
      <w:r>
        <w:t xml:space="preserve"> </w:t>
      </w:r>
      <w:r>
        <w:t xml:space="preserve">https://doi.org/10.5281/zenodo.PLACEHOLDER containing the pre-built</w:t>
      </w:r>
      <w:r>
        <w:t xml:space="preserve"> </w:t>
      </w:r>
      <w:r>
        <w:t xml:space="preserve">knowledge graph artefacts that are too large to commit to a Git history</w:t>
      </w:r>
      <w:r>
        <w:t xml:space="preserve"> </w:t>
      </w:r>
      <w:r>
        <w:t xml:space="preserve">(Table 2). The two are linked: each tagged GitHub release is deposited to Zenodo, ensuring that every released graph version</w:t>
      </w:r>
      <w:r>
        <w:t xml:space="preserve"> </w:t>
      </w:r>
      <w:r>
        <w:t xml:space="preserve">is associated with both a Git tag and a persistent DOI.</w:t>
      </w:r>
    </w:p>
    <w:bookmarkStart w:id="38" w:name="pre-built-knowledge-graph-zenodo"/>
    <w:p>
      <w:pPr>
        <w:pStyle w:val="Heading3"/>
      </w:pPr>
      <w:r>
        <w:t xml:space="preserve">4.1 Pre-built knowledge graph (Zenodo)</w:t>
      </w:r>
    </w:p>
    <w:p>
      <w:pPr>
        <w:pStyle w:val="FirstParagraph"/>
      </w:pPr>
      <w:r>
        <w:t xml:space="preserve">The Zenodo deposit (DOI: 10.5281/zenodo.PLACEHOLDER) contains three</w:t>
      </w:r>
      <w:r>
        <w:t xml:space="preserve"> </w:t>
      </w:r>
      <w:r>
        <w:t xml:space="preserve">pre-built artefacts.</w:t>
      </w:r>
      <w:r>
        <w:t xml:space="preserve"> </w:t>
      </w:r>
      <w:r>
        <w:rPr>
          <w:rStyle w:val="VerbatimChar"/>
          <w:bCs/>
          <w:b/>
        </w:rPr>
        <w:t xml:space="preserve">cardiometabolic_kg_v1.0.0.dump</w:t>
      </w:r>
      <w:r>
        <w:t xml:space="preserve"> </w:t>
      </w:r>
      <w:r>
        <w:t xml:space="preserve">(~50 MB) is a</w:t>
      </w:r>
      <w:r>
        <w:t xml:space="preserve"> </w:t>
      </w:r>
      <w:r>
        <w:t xml:space="preserve">Neo4j 5.x database dump that can be loaded directly into a local Neo4j</w:t>
      </w:r>
      <w:r>
        <w:t xml:space="preserve"> </w:t>
      </w:r>
      <w:r>
        <w:t xml:space="preserve">instance with</w:t>
      </w:r>
      <w:r>
        <w:t xml:space="preserve"> </w:t>
      </w:r>
      <w:r>
        <w:rPr>
          <w:rStyle w:val="VerbatimChar"/>
        </w:rPr>
        <w:t xml:space="preserve">neo4j-admin database load --from-path=./ cardiometabolic_kg_v1.0.0.dump neo4j --overwrite-destination</w:t>
      </w:r>
      <w:r>
        <w:t xml:space="preserve">; this is</w:t>
      </w:r>
      <w:r>
        <w:t xml:space="preserve"> </w:t>
      </w:r>
      <w:r>
        <w:t xml:space="preserve">the recommended starting point for users who want to immediately query</w:t>
      </w:r>
      <w:r>
        <w:t xml:space="preserve"> </w:t>
      </w:r>
      <w:r>
        <w:t xml:space="preserve">the graph.</w:t>
      </w:r>
      <w:r>
        <w:t xml:space="preserve"> </w:t>
      </w:r>
      <w:r>
        <w:rPr>
          <w:rStyle w:val="VerbatimChar"/>
          <w:bCs/>
          <w:b/>
        </w:rPr>
        <w:t xml:space="preserve">cardiometabolic_kg_v1.0.0_csv.zip</w:t>
      </w:r>
      <w:r>
        <w:t xml:space="preserve"> </w:t>
      </w:r>
      <w:r>
        <w:t xml:space="preserve">(~30 MB compressed)</w:t>
      </w:r>
      <w:r>
        <w:t xml:space="preserve"> </w:t>
      </w:r>
      <w:r>
        <w:t xml:space="preserve">contains the per-node and per-edge CSV files emitted by the BioCypher</w:t>
      </w:r>
      <w:r>
        <w:t xml:space="preserve"> </w:t>
      </w:r>
      <w:r>
        <w:t xml:space="preserve">pipeline, with one CSV per node type and one per edge type plus their</w:t>
      </w:r>
      <w:r>
        <w:t xml:space="preserve"> </w:t>
      </w:r>
      <w:r>
        <w:t xml:space="preserve">corresponding header files; this format is suitable for users who wish</w:t>
      </w:r>
      <w:r>
        <w:t xml:space="preserve"> </w:t>
      </w:r>
      <w:r>
        <w:t xml:space="preserve">to load the graph into a non-Neo4j backend (e.g. ArangoDB, Memgraph) or</w:t>
      </w:r>
      <w:r>
        <w:t xml:space="preserve"> </w:t>
      </w:r>
      <w:r>
        <w:t xml:space="preserve">who require a database-agnostic intermediate.</w:t>
      </w:r>
      <w:r>
        <w:t xml:space="preserve"> </w:t>
      </w:r>
      <w:r>
        <w:rPr>
          <w:rStyle w:val="VerbatimChar"/>
          <w:bCs/>
          <w:b/>
        </w:rPr>
        <w:t xml:space="preserve">Cardiometabolic-KG_v1.0.0_source.zip</w:t>
      </w:r>
      <w:r>
        <w:t xml:space="preserve"> </w:t>
      </w:r>
      <w:r>
        <w:t xml:space="preserve">(~5 MB) is a snapshot of the GitHub repository at the v1.0.0 tag,</w:t>
      </w:r>
      <w:r>
        <w:t xml:space="preserve"> </w:t>
      </w:r>
      <w:r>
        <w:t xml:space="preserve">included for archival completeness so that the deposit is fully</w:t>
      </w:r>
      <w:r>
        <w:t xml:space="preserve"> </w:t>
      </w:r>
      <w:r>
        <w:t xml:space="preserve">self-contained even if the GitHub repository becomes unavailable.</w:t>
      </w:r>
    </w:p>
    <w:bookmarkEnd w:id="38"/>
    <w:bookmarkStart w:id="39" w:name="source-code-and-pipeline-github"/>
    <w:p>
      <w:pPr>
        <w:pStyle w:val="Heading3"/>
      </w:pPr>
      <w:r>
        <w:t xml:space="preserve">4.2 Source code and pipeline (GitHub)</w:t>
      </w:r>
    </w:p>
    <w:p>
      <w:pPr>
        <w:pStyle w:val="FirstParagraph"/>
      </w:pPr>
      <w:r>
        <w:t xml:space="preserve">The Git repository contains all source code, schema configuration, and</w:t>
      </w:r>
      <w:r>
        <w:t xml:space="preserve"> </w:t>
      </w:r>
      <w:r>
        <w:t xml:space="preserve">documentation needed to rebuild the knowledge graph from the upstream</w:t>
      </w:r>
      <w:r>
        <w:t xml:space="preserve"> </w:t>
      </w:r>
      <w:r>
        <w:t xml:space="preserve">data sources: three adapter modules (</w:t>
      </w:r>
      <w:r>
        <w:rPr>
          <w:rStyle w:val="VerbatimChar"/>
        </w:rPr>
        <w:t xml:space="preserve">adapters/gwas_adapter.py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adapters/usda_adapter.py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adapters/gutmgene_adapter.py</w:t>
      </w:r>
      <w:r>
        <w:t xml:space="preserve">); the</w:t>
      </w:r>
      <w:r>
        <w:t xml:space="preserve"> </w:t>
      </w:r>
      <w:r>
        <w:t xml:space="preserve">BioCypher schema configuration (</w:t>
      </w:r>
      <w:r>
        <w:rPr>
          <w:rStyle w:val="VerbatimChar"/>
        </w:rPr>
        <w:t xml:space="preserve">config/schema_config.yaml</w:t>
      </w:r>
      <w:r>
        <w:t xml:space="preserve">); the</w:t>
      </w:r>
      <w:r>
        <w:t xml:space="preserve"> </w:t>
      </w:r>
      <w:r>
        <w:t xml:space="preserve">build and load pipeline (</w:t>
      </w:r>
      <w:r>
        <w:rPr>
          <w:rStyle w:val="VerbatimChar"/>
        </w:rPr>
        <w:t xml:space="preserve">scripts/build_kg.py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scripts/load_to_neo4j.py</w:t>
      </w:r>
      <w:r>
        <w:t xml:space="preserve">);</w:t>
      </w:r>
      <w:r>
        <w:t xml:space="preserve"> </w:t>
      </w:r>
      <w:r>
        <w:t xml:space="preserve">the fifteen competency-question Cypher files (</w:t>
      </w:r>
      <w:r>
        <w:rPr>
          <w:rStyle w:val="VerbatimChar"/>
        </w:rPr>
        <w:t xml:space="preserve">queries/competency/</w:t>
      </w:r>
      <w:r>
        <w:t xml:space="preserve">);</w:t>
      </w:r>
      <w:r>
        <w:t xml:space="preserve"> </w:t>
      </w:r>
      <w:r>
        <w:t xml:space="preserve">the manual-audit reproducibility scripts (</w:t>
      </w:r>
      <w:r>
        <w:rPr>
          <w:rStyle w:val="VerbatimChar"/>
        </w:rPr>
        <w:t xml:space="preserve">scripts/select_audit_subset.py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); the audit verdicts as a tab-separated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audit/edge_sample_25.tsv</w:t>
      </w:r>
      <w:r>
        <w:t xml:space="preserve">); pinned dependencies (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project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);</w:t>
      </w:r>
      <w:r>
        <w:t xml:space="preserve"> </w:t>
      </w:r>
      <w:r>
        <w:t xml:space="preserve">machine-readable citation metadata (</w:t>
      </w:r>
      <w:r>
        <w:rPr>
          <w:rStyle w:val="VerbatimChar"/>
        </w:rPr>
        <w:t xml:space="preserve">CITATION.cff</w:t>
      </w:r>
      <w:r>
        <w:t xml:space="preserve">); and the 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LICENSE</w:t>
      </w:r>
      <w:r>
        <w:t xml:space="preserve">). Source data are not included in the repository owing to</w:t>
      </w:r>
      <w:r>
        <w:t xml:space="preserve"> </w:t>
      </w:r>
      <w:r>
        <w:t xml:space="preserve">file-size and licensing considerations; download instructions and</w:t>
      </w:r>
      <w:r>
        <w:t xml:space="preserve"> </w:t>
      </w:r>
      <w:r>
        <w:t xml:space="preserve">canonical URLs are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.</w:t>
      </w:r>
    </w:p>
    <w:bookmarkEnd w:id="39"/>
    <w:bookmarkStart w:id="40" w:name="versioning-policy"/>
    <w:p>
      <w:pPr>
        <w:pStyle w:val="Heading3"/>
      </w:pPr>
      <w:r>
        <w:t xml:space="preserve">4.3 Versioning policy</w:t>
      </w:r>
    </w:p>
    <w:p>
      <w:pPr>
        <w:pStyle w:val="FirstParagraph"/>
      </w:pPr>
      <w:r>
        <w:t xml:space="preserve">Releases follow semantic versioning (https://semver.org/). Major version</w:t>
      </w:r>
      <w:r>
        <w:t xml:space="preserve"> </w:t>
      </w:r>
      <w:r>
        <w:t xml:space="preserve">increments (v2.0, v3.0, …) signal schema-breaking changes that affect</w:t>
      </w:r>
      <w:r>
        <w:t xml:space="preserve"> </w:t>
      </w:r>
      <w:r>
        <w:t xml:space="preserve">existing queries. Minor version increments (v1.1, v1.2, …) signal data</w:t>
      </w:r>
      <w:r>
        <w:t xml:space="preserve"> </w:t>
      </w:r>
      <w:r>
        <w:t xml:space="preserve">updates from upstream sources or non-breaking schema extensions (e.g.</w:t>
      </w:r>
      <w:r>
        <w:t xml:space="preserve"> </w:t>
      </w:r>
      <w:r>
        <w:t xml:space="preserve">adding new edge properties). Patch increments (v1.0.1, v1.0.2, …)</w:t>
      </w:r>
      <w:r>
        <w:t xml:space="preserve"> </w:t>
      </w:r>
      <w:r>
        <w:t xml:space="preserve">signal bug fixes and documentation improvements that do not affect</w:t>
      </w:r>
      <w:r>
        <w:t xml:space="preserve"> </w:t>
      </w:r>
      <w:r>
        <w:t xml:space="preserve">graph contents. The audit verdict file is regenerated at each minor or</w:t>
      </w:r>
      <w:r>
        <w:t xml:space="preserve"> </w:t>
      </w:r>
      <w:r>
        <w:t xml:space="preserve">major release and a new audit summary is appended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Released artefacts. Sizes are approximate at v1.0.0 and may</w:t>
      </w:r>
      <w:r>
        <w:t xml:space="preserve"> </w:t>
      </w:r>
      <w:r>
        <w:t xml:space="preserve">change in subsequent releases.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cardiometabolic_kg_v1.0.0.dump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5.x 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Pre-built database, ready to import via</w:t>
            </w:r>
            <w:r>
              <w:t xml:space="preserve"> </w:t>
            </w:r>
            <w:r>
              <w:rPr>
                <w:rStyle w:val="VerbatimChar"/>
              </w:rPr>
              <w:t xml:space="preserve">neo4j-admin database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cardiometabolic_kg_v1.0.0_csv.zip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Adapter-agnostic intermediate; suitable for non-Neo4j backends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Cardiometabolic-KG_v1.0.0_source.zip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snapshot of the GitHub repository at 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adapter modules (GWAS, USDA, gutMGene)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config/schema_config.yaml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BioCypher schema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pipeline, Neo4j loader, audit scripts, competency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queries/competency/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Cypher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Fifteen competency-question queries (CQ1–CQ15)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audit/edge_sample_25.tsv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audit verdicts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DATA_SOURCES.md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Upstream-source URLs, versions,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software dependencies</w:t>
            </w:r>
          </w:p>
        </w:tc>
      </w:tr>
    </w:tbl>
    <w:bookmarkEnd w:id="40"/>
    <w:bookmarkEnd w:id="41"/>
    <w:bookmarkStart w:id="45" w:name="results"/>
    <w:p>
      <w:pPr>
        <w:pStyle w:val="Heading2"/>
      </w:pPr>
      <w:r>
        <w:t xml:space="preserve">5 Results</w:t>
      </w:r>
    </w:p>
    <w:bookmarkStart w:id="42" w:name="Xe61b3263c11818f414bff186c9eeb7f679b331e"/>
    <w:p>
      <w:pPr>
        <w:pStyle w:val="Heading3"/>
      </w:pPr>
      <w:r>
        <w:t xml:space="preserve">5.1 Knowledge graph statistics and structural properties</w:t>
      </w:r>
    </w:p>
    <w:p>
      <w:pPr>
        <w:pStyle w:val="FirstParagraph"/>
      </w:pPr>
      <w:r>
        <w:t xml:space="preserve">The released NuGeMi-KG contains 55,263 nodes distributed across eight node</w:t>
      </w:r>
      <w:r>
        <w:t xml:space="preserve"> </w:t>
      </w:r>
      <w:r>
        <w:t xml:space="preserve">types and 85,308 edges distributed across nine edge types (Table 2). The</w:t>
      </w:r>
      <w:r>
        <w:t xml:space="preserve"> </w:t>
      </w:r>
      <w:r>
        <w:t xml:space="preserve">genetics layer contributes the largest share of nodes (47,718 SNPs, 6,398</w:t>
      </w:r>
      <w:r>
        <w:t xml:space="preserve"> </w:t>
      </w:r>
      <w:r>
        <w:t xml:space="preserve">genes, 11 phenotypes), reflecting the GWAS Catalog’s broad cardiometabolic</w:t>
      </w:r>
      <w:r>
        <w:t xml:space="preserve"> </w:t>
      </w:r>
      <w:r>
        <w:t xml:space="preserve">coverage. The microbiome layer is more selective by design — gutMGene’s</w:t>
      </w:r>
      <w:r>
        <w:t xml:space="preserve"> </w:t>
      </w:r>
      <w:r>
        <w:t xml:space="preserve">strict human-only, causal-only filter retains 192 microbes, 378 microbe →</w:t>
      </w:r>
      <w:r>
        <w:t xml:space="preserve"> </w:t>
      </w:r>
      <w:r>
        <w:t xml:space="preserve">metabolite edges, and 182 microbe → host gene edges, all with PubMed</w:t>
      </w:r>
      <w:r>
        <w:t xml:space="preserve"> </w:t>
      </w:r>
      <w:r>
        <w:t xml:space="preserve">citations. The food-chemistry layer comprises 358 USDA Foundation Foods</w:t>
      </w:r>
      <w:r>
        <w:t xml:space="preserve"> </w:t>
      </w:r>
      <w:r>
        <w:t xml:space="preserve">linked to 586 nutrients via 13,523 composition edges. Cross-source</w:t>
      </w:r>
      <w:r>
        <w:t xml:space="preserve"> </w:t>
      </w:r>
      <w:r>
        <w:t xml:space="preserve">overlap — i.e. nutrient nodes shared between USDA and gutMGene, or gene</w:t>
      </w:r>
      <w:r>
        <w:t xml:space="preserve"> </w:t>
      </w:r>
      <w:r>
        <w:t xml:space="preserve">nodes shared between GWAS Catalog and gutMGene — is non-trivial and</w:t>
      </w:r>
      <w:r>
        <w:t xml:space="preserve"> </w:t>
      </w:r>
      <w:r>
        <w:t xml:space="preserve">explicitly preserved by the build pipeline (76 shared genes, 126 shared</w:t>
      </w:r>
      <w:r>
        <w:t xml:space="preserve"> </w:t>
      </w:r>
      <w:r>
        <w:t xml:space="preserve">nutrient nodes), enabling the cross-layer queries described in §5.3.</w:t>
      </w:r>
    </w:p>
    <w:p>
      <w:pPr>
        <w:pStyle w:val="BodyText"/>
      </w:pPr>
      <w:r>
        <w:t xml:space="preserve">Provenance coverage is complete on all literature-derived edge types: 100%</w:t>
      </w:r>
      <w:r>
        <w:t xml:space="preserve"> </w:t>
      </w:r>
      <w:r>
        <w:t xml:space="preserve">of the 54,223 SnpToPhenotype edges, 100% of the 378 MicrobeToNutrient</w:t>
      </w:r>
      <w:r>
        <w:t xml:space="preserve"> </w:t>
      </w:r>
      <w:r>
        <w:t xml:space="preserve">edges, and 100% of the 182 MicrobeToGene edges carry a PubMed identifier.</w:t>
      </w:r>
      <w:r>
        <w:t xml:space="preserve"> </w:t>
      </w:r>
      <w:r>
        <w:t xml:space="preserve">FoodToNutrient edges, drawn from USDA’s analytical-laboratory programme,</w:t>
      </w:r>
      <w:r>
        <w:t xml:space="preserve"> </w:t>
      </w:r>
      <w:r>
        <w:t xml:space="preserve">are accompanied by source-specific provenance (FDC food identifiers and</w:t>
      </w:r>
      <w:r>
        <w:t xml:space="preserve"> </w:t>
      </w:r>
      <w:r>
        <w:t xml:space="preserve">analytical method codes) rather than per-edge PMIDs.</w:t>
      </w:r>
    </w:p>
    <w:bookmarkEnd w:id="42"/>
    <w:bookmarkStart w:id="43" w:name="competency-question-evaluation"/>
    <w:p>
      <w:pPr>
        <w:pStyle w:val="Heading3"/>
      </w:pPr>
      <w:r>
        <w:t xml:space="preserve">5.2 Competency-question evaluation</w:t>
      </w:r>
    </w:p>
    <w:p>
      <w:pPr>
        <w:pStyle w:val="FirstParagraph"/>
      </w:pPr>
      <w:r>
        <w:t xml:space="preserve">We defined fifteen competency questions (CQ1–CQ15) to evaluate whether the</w:t>
      </w:r>
      <w:r>
        <w:t xml:space="preserve"> </w:t>
      </w:r>
      <w:r>
        <w:t xml:space="preserve">KG supports the intended biomedical query patterns (Table 3). The questions</w:t>
      </w:r>
      <w:r>
        <w:t xml:space="preserve"> </w:t>
      </w:r>
      <w:r>
        <w:t xml:space="preserve">are organised by layer depth: five Tier-1 (single-layer) queries probe</w:t>
      </w:r>
      <w:r>
        <w:t xml:space="preserve"> </w:t>
      </w:r>
      <w:r>
        <w:t xml:space="preserve">within-layer correctness; five Tier-2 (two-layer) queries probe pairwise</w:t>
      </w:r>
      <w:r>
        <w:t xml:space="preserve"> </w:t>
      </w:r>
      <w:r>
        <w:t xml:space="preserve">cross-layer integration; and five Tier-3 (tri-layer) queries probe the</w:t>
      </w:r>
      <w:r>
        <w:t xml:space="preserve"> </w:t>
      </w:r>
      <w:r>
        <w:t xml:space="preserve">full Food → Microbiome → Genetics → Phenotype chain that constitutes the</w:t>
      </w:r>
      <w:r>
        <w:t xml:space="preserve"> </w:t>
      </w:r>
      <w:r>
        <w:t xml:space="preserve">resource’s principal contribution.</w:t>
      </w:r>
    </w:p>
    <w:p>
      <w:pPr>
        <w:pStyle w:val="BodyText"/>
      </w:pPr>
      <w:r>
        <w:t xml:space="preserve">Of the fifteen questions, fourteen return non-empty, biologically meaningful</w:t>
      </w:r>
      <w:r>
        <w:t xml:space="preserve"> </w:t>
      </w:r>
      <w:r>
        <w:t xml:space="preserve">results. Tier-1 queries recover canonical findings: CQ1 returns the</w:t>
      </w:r>
      <w:r>
        <w:t xml:space="preserve"> </w:t>
      </w:r>
      <w:r>
        <w:t xml:space="preserve">TCF7L2 rs7903146 variant with an odds ratio of 1.36 for type 2 diabetes</w:t>
      </w:r>
      <w:r>
        <w:t xml:space="preserve"> </w:t>
      </w:r>
      <w:r>
        <w:t xml:space="preserve">mellitus, matching published meta-analyses; CQ2 returns coconut flour, ground</w:t>
      </w:r>
      <w:r>
        <w:t xml:space="preserve"> </w:t>
      </w:r>
      <w:r>
        <w:t xml:space="preserve">flaxseed, and rye flour as the highest-fibre Foundation Foods (34.2, 23.1,</w:t>
      </w:r>
      <w:r>
        <w:t xml:space="preserve"> </w:t>
      </w:r>
      <w:r>
        <w:t xml:space="preserve">13.7 g/100g respectively); CQ3 returns</w:t>
      </w:r>
      <w:r>
        <w:t xml:space="preserve"> </w:t>
      </w:r>
      <w:r>
        <w:rPr>
          <w:iCs/>
          <w:i/>
        </w:rPr>
        <w:t xml:space="preserve">Christensenella minuta</w:t>
      </w:r>
      <w:r>
        <w:t xml:space="preserve">,</w:t>
      </w:r>
      <w:r>
        <w:t xml:space="preserve"> </w:t>
      </w:r>
      <w:r>
        <w:rPr>
          <w:iCs/>
          <w:i/>
        </w:rPr>
        <w:t xml:space="preserve">[Clostridium] scindens</w:t>
      </w:r>
      <w:r>
        <w:t xml:space="preserve">, and</w:t>
      </w:r>
      <w:r>
        <w:t xml:space="preserve"> </w:t>
      </w:r>
      <w:r>
        <w:rPr>
          <w:iCs/>
          <w:i/>
        </w:rPr>
        <w:t xml:space="preserve">various Eubacterium species</w:t>
      </w:r>
      <w:r>
        <w:t xml:space="preserve"> </w:t>
      </w:r>
      <w:r>
        <w:t xml:space="preserve">among the top butyrate</w:t>
      </w:r>
      <w:r>
        <w:t xml:space="preserve"> </w:t>
      </w:r>
      <w:r>
        <w:t xml:space="preserve">producers. CQ4 returns ADAMTSL3, LPL, and FAM101A as the most cardiometabolic-</w:t>
      </w:r>
      <w:r>
        <w:t xml:space="preserve"> </w:t>
      </w:r>
      <w:r>
        <w:t xml:space="preserve">GWAS-rich genes (75, 71, and 67 distinct SNPs respectively), recovering LPL —</w:t>
      </w:r>
      <w:r>
        <w:t xml:space="preserve"> </w:t>
      </w:r>
      <w:r>
        <w:t xml:space="preserve">lipoprotein lipase, a textbook lipid-metabolism gene — at rank 2.</w:t>
      </w:r>
    </w:p>
    <w:p>
      <w:pPr>
        <w:pStyle w:val="BodyText"/>
      </w:pPr>
      <w:r>
        <w:t xml:space="preserve">Tier-2 queries demonstrate the schema’s cross-layer reasoning capacity. CQ7,</w:t>
      </w:r>
      <w:r>
        <w:t xml:space="preserve"> </w:t>
      </w:r>
      <w:r>
        <w:t xml:space="preserve">which retrieves microbes whose modulated host genes also carry cardiometabolic</w:t>
      </w:r>
      <w:r>
        <w:t xml:space="preserve"> </w:t>
      </w:r>
      <w:r>
        <w:t xml:space="preserve">GWAS variants, returns fifteen microbe–gene pairs spanning seven cardiometabolic</w:t>
      </w:r>
      <w:r>
        <w:t xml:space="preserve"> </w:t>
      </w:r>
      <w:r>
        <w:t xml:space="preserve">phenotypes;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jointly</w:t>
      </w:r>
      <w:r>
        <w:t xml:space="preserve"> </w:t>
      </w:r>
      <w:r>
        <w:t xml:space="preserve">implicate PPARG with 45 distinct GWAS variants, while</w:t>
      </w:r>
      <w:r>
        <w:t xml:space="preserve"> </w:t>
      </w:r>
      <w:r>
        <w:rPr>
          <w:iCs/>
          <w:i/>
        </w:rPr>
        <w:t xml:space="preserve">Lactiplantibacillus</w:t>
      </w:r>
      <w:r>
        <w:rPr>
          <w:iCs/>
          <w:i/>
        </w:rPr>
        <w:t xml:space="preserve"> </w:t>
      </w:r>
      <w:r>
        <w:rPr>
          <w:iCs/>
          <w:i/>
        </w:rPr>
        <w:t xml:space="preserve">plantarum</w:t>
      </w:r>
      <w:r>
        <w:t xml:space="preserve"> </w:t>
      </w:r>
      <w:r>
        <w:t xml:space="preserve">implicates VEGFA with 16 SNPs and HNF4A with 9 SNPs. CQ10 confirms</w:t>
      </w:r>
      <w:r>
        <w:t xml:space="preserve"> </w:t>
      </w:r>
      <w:r>
        <w:t xml:space="preserve">that rs7903146 is associated with seven distinct cardiometabolic phenotypes</w:t>
      </w:r>
      <w:r>
        <w:t xml:space="preserve"> </w:t>
      </w:r>
      <w:r>
        <w:t xml:space="preserve">in the KG (T2D, hyperglycemia, obesity, hypercholesterolemia, hypertriglyceridemia,</w:t>
      </w:r>
      <w:r>
        <w:t xml:space="preserve"> </w:t>
      </w:r>
      <w:r>
        <w:t xml:space="preserve">hypertension, and coronary artery disease), recovering the textbook pleiotropy</w:t>
      </w:r>
      <w:r>
        <w:t xml:space="preserve"> </w:t>
      </w:r>
      <w:r>
        <w:t xml:space="preserve">of this variant.</w:t>
      </w:r>
    </w:p>
    <w:p>
      <w:pPr>
        <w:pStyle w:val="BodyText"/>
      </w:pPr>
      <w:r>
        <w:t xml:space="preserve">The five Tier-3 queries are the resource’s intended novel contributions. CQ11</w:t>
      </w:r>
      <w:r>
        <w:t xml:space="preserve"> </w:t>
      </w:r>
      <w:r>
        <w:t xml:space="preserve">returns ten complete five-hop paths of the form Food → Nutrient ← Microbe →</w:t>
      </w:r>
      <w:r>
        <w:t xml:space="preserve"> </w:t>
      </w:r>
      <w:r>
        <w:t xml:space="preserve">Gene ← SNP → Phenotype; for example,</w:t>
      </w:r>
      <w:r>
        <w:t xml:space="preserve"> </w:t>
      </w:r>
      <w:r>
        <w:rPr>
          <w:iCs/>
          <w:i/>
        </w:rPr>
        <w:t xml:space="preserve">Strawberries → Vitamin C ← L. plantarum</w:t>
      </w:r>
      <w:r>
        <w:rPr>
          <w:iCs/>
          <w:i/>
        </w:rPr>
        <w:t xml:space="preserve"> </w:t>
      </w:r>
      <w:r>
        <w:rPr>
          <w:iCs/>
          <w:i/>
        </w:rPr>
        <w:t xml:space="preserve">→ ITCH ← rs117075207 → obesity</w:t>
      </w:r>
      <w:r>
        <w:t xml:space="preserve">. CQ12 surfaces PPARG as a tri-layer</w:t>
      </w:r>
      <w:r>
        <w:t xml:space="preserve"> </w:t>
      </w:r>
      <w:r>
        <w:t xml:space="preserve">convergence point with two microbial modulators and 45 cardiometabolic SNPs</w:t>
      </w:r>
      <w:r>
        <w:t xml:space="preserve"> </w:t>
      </w:r>
      <w:r>
        <w:t xml:space="preserve">spanning seven phenotypes (Figure 3). CQ13 generalises this to a ranked list</w:t>
      </w:r>
      <w:r>
        <w:t xml:space="preserve"> </w:t>
      </w:r>
      <w:r>
        <w:t xml:space="preserve">of bridge genes supported by both microbial modulation and GWAS evidence</w:t>
      </w:r>
      <w:r>
        <w:t xml:space="preserve"> </w:t>
      </w:r>
      <w:r>
        <w:t xml:space="preserve">(PPARG, VEGFA, HNF4A, ANGPTL4 lead the list, all established metabolic loci).</w:t>
      </w:r>
      <w:r>
        <w:t xml:space="preserve"> </w:t>
      </w:r>
      <w:r>
        <w:t xml:space="preserve">CQ14 retrieves SCFA-producing microbes that reach obesity or T2D via host-</w:t>
      </w:r>
      <w:r>
        <w:t xml:space="preserve"> </w:t>
      </w:r>
      <w:r>
        <w:t xml:space="preserve">gene modulation: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(butyrate) → PPARG → obesity (39 of the 45 PPARG SNPs are obesity-associated);</w:t>
      </w:r>
      <w:r>
        <w:t xml:space="preserve"> </w:t>
      </w:r>
      <w:r>
        <w:rPr>
          <w:iCs/>
          <w:i/>
        </w:rPr>
        <w:t xml:space="preserve">Bifidobacterium longum</w:t>
      </w:r>
      <w:r>
        <w:t xml:space="preserve"> </w:t>
      </w:r>
      <w:r>
        <w:t xml:space="preserve">(acetate) → CYP7A1 → obesity (3 SNPs);</w:t>
      </w:r>
      <w:r>
        <w:t xml:space="preserve"> </w:t>
      </w:r>
      <w:r>
        <w:rPr>
          <w:iCs/>
          <w:i/>
        </w:rPr>
        <w:t xml:space="preserve">Akkermansia muciniphila</w:t>
      </w:r>
      <w:r>
        <w:t xml:space="preserve"> </w:t>
      </w:r>
      <w:r>
        <w:t xml:space="preserve">(acetate) → TNF → obesity. CQ15 produces an</w:t>
      </w:r>
      <w:r>
        <w:t xml:space="preserve"> </w:t>
      </w:r>
      <w:r>
        <w:t xml:space="preserve">evidence-density map showing densest tri-layer coverage for obesity (24</w:t>
      </w:r>
      <w:r>
        <w:t xml:space="preserve"> </w:t>
      </w:r>
      <w:r>
        <w:t xml:space="preserve">microbes, 18 genes, 21,521 SNPs), followed by hypertriglyceridemia and</w:t>
      </w:r>
      <w:r>
        <w:t xml:space="preserve"> </w:t>
      </w:r>
      <w:r>
        <w:t xml:space="preserve">hypercholesterolemia.</w:t>
      </w:r>
    </w:p>
    <w:p>
      <w:pPr>
        <w:pStyle w:val="BodyText"/>
      </w:pPr>
      <w:r>
        <w:t xml:space="preserve">The single empty query (CQ6) reflects sparse direct annotation of obesity-</w:t>
      </w:r>
      <w:r>
        <w:t xml:space="preserve"> </w:t>
      </w:r>
      <w:r>
        <w:t xml:space="preserve">microbe edges in gutMGene v2.0 (only one microbe —</w:t>
      </w:r>
      <w:r>
        <w:t xml:space="preserve"> </w:t>
      </w:r>
      <w:r>
        <w:rPr>
          <w:iCs/>
          <w:i/>
        </w:rPr>
        <w:t xml:space="preserve">Faecalibacterium</w:t>
      </w:r>
      <w:r>
        <w:rPr>
          <w:iCs/>
          <w:i/>
        </w:rPr>
        <w:t xml:space="preserve"> </w:t>
      </w:r>
      <w:r>
        <w:rPr>
          <w:iCs/>
          <w:i/>
        </w:rPr>
        <w:t xml:space="preserve">prausnitzii</w:t>
      </w:r>
      <w:r>
        <w:t xml:space="preserve"> </w:t>
      </w:r>
      <w:r>
        <w:t xml:space="preserve">— has a direct MicrobeToPhenotype association in the source</w:t>
      </w:r>
      <w:r>
        <w:t xml:space="preserve"> </w:t>
      </w:r>
      <w:r>
        <w:t xml:space="preserve">database), rather than an integration failure; we discuss this limitation in</w:t>
      </w:r>
      <w:r>
        <w:t xml:space="preserve"> </w:t>
      </w:r>
      <w:r>
        <w:t xml:space="preserve">§5. Mean Cypher latency across the fifteen queries was 5 ms on a single-node</w:t>
      </w:r>
      <w:r>
        <w:t xml:space="preserve"> </w:t>
      </w:r>
      <w:r>
        <w:t xml:space="preserve">Neo4j 5.x instance running on commodity hardware (Intel i7, 16 GB RAM),</w:t>
      </w:r>
      <w:r>
        <w:t xml:space="preserve"> </w:t>
      </w:r>
      <w:r>
        <w:t xml:space="preserve">indicating the KG is interactively queryable at this scale.</w:t>
      </w:r>
    </w:p>
    <w:bookmarkEnd w:id="43"/>
    <w:bookmarkStart w:id="44" w:name="manual-edge-audit"/>
    <w:p>
      <w:pPr>
        <w:pStyle w:val="Heading3"/>
      </w:pPr>
      <w:r>
        <w:t xml:space="preserve">5.3 Manual edge audit</w:t>
      </w:r>
    </w:p>
    <w:p>
      <w:pPr>
        <w:pStyle w:val="FirstParagraph"/>
      </w:pPr>
      <w:r>
        <w:t xml:space="preserve">To assess data quality beyond automated provenance, we manually audited a</w:t>
      </w:r>
      <w:r>
        <w:t xml:space="preserve"> </w:t>
      </w:r>
      <w:r>
        <w:t xml:space="preserve">stratified random sample of 25 edges (six to seven per primary edge type)</w:t>
      </w:r>
      <w:r>
        <w:t xml:space="preserve"> </w:t>
      </w:r>
      <w:r>
        <w:t xml:space="preserve">drawn from the four most novel cross-source edge types: SnpToPhenotype,</w:t>
      </w:r>
      <w:r>
        <w:t xml:space="preserve"> </w:t>
      </w:r>
      <w:r>
        <w:t xml:space="preserve">FoodToNutrient, MicrobeToNutrient, and MicrobeToGene. The sampling script</w:t>
      </w:r>
      <w:r>
        <w:t xml:space="preserve"> </w:t>
      </w:r>
      <w:r>
        <w:t xml:space="preserve">uses a fixed random seed (42) and is included in the released code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scripts/select_audit_subset.py</w:t>
      </w:r>
      <w:r>
        <w:t xml:space="preserve">) so that the audit set is reproducible by</w:t>
      </w:r>
      <w:r>
        <w:t xml:space="preserve"> </w:t>
      </w:r>
      <w:r>
        <w:t xml:space="preserve">third parties.</w:t>
      </w:r>
    </w:p>
    <w:p>
      <w:pPr>
        <w:pStyle w:val="BodyText"/>
      </w:pPr>
      <w:r>
        <w:t xml:space="preserve">Each edge was verified against its source reference: PubMed abstracts for</w:t>
      </w:r>
      <w:r>
        <w:t xml:space="preserve"> </w:t>
      </w:r>
      <w:r>
        <w:t xml:space="preserve">SnpToPhenotype, MicrobeToNutrient, and MicrobeToGene edges; USDA FoodData</w:t>
      </w:r>
      <w:r>
        <w:t xml:space="preserve"> </w:t>
      </w:r>
      <w:r>
        <w:t xml:space="preserve">Central entries for FoodToNutrient edges. We deliberately applied a strict,</w:t>
      </w:r>
      <w:r>
        <w:t xml:space="preserve"> </w:t>
      </w:r>
      <w:r>
        <w:t xml:space="preserve">abstract-only verification protocol. An edge was classified VERIFIED only if</w:t>
      </w:r>
      <w:r>
        <w:t xml:space="preserve"> </w:t>
      </w:r>
      <w:r>
        <w:t xml:space="preserve">the cited source’s abstract explicitly stated the encoded relationship between</w:t>
      </w:r>
      <w:r>
        <w:t xml:space="preserve"> </w:t>
      </w:r>
      <w:r>
        <w:t xml:space="preserve">the source and target entities; PARTIAL if both entities were referenced in</w:t>
      </w:r>
      <w:r>
        <w:t xml:space="preserve"> </w:t>
      </w:r>
      <w:r>
        <w:t xml:space="preserve">the source and the paper was clearly on-topic, but the abstract did not state</w:t>
      </w:r>
      <w:r>
        <w:t xml:space="preserve"> </w:t>
      </w:r>
      <w:r>
        <w:t xml:space="preserve">the relationship (typically because it appears only in supplementary tables,</w:t>
      </w:r>
      <w:r>
        <w:t xml:space="preserve"> </w:t>
      </w:r>
      <w:r>
        <w:t xml:space="preserve">results figures, or full-text passages); UNVERIFIED if the source did not</w:t>
      </w:r>
      <w:r>
        <w:t xml:space="preserve"> </w:t>
      </w:r>
      <w:r>
        <w:t xml:space="preserve">support the relationship; and NA if the source was inaccessible. This protocol</w:t>
      </w:r>
      <w:r>
        <w:t xml:space="preserve"> </w:t>
      </w:r>
      <w:r>
        <w:t xml:space="preserve">provides a conservative lower bound on data quality: many published audits use</w:t>
      </w:r>
      <w:r>
        <w:t xml:space="preserve"> </w:t>
      </w:r>
      <w:r>
        <w:t xml:space="preserve">looser criteria (allowing supplementary-material support), which would shift</w:t>
      </w:r>
      <w:r>
        <w:t xml:space="preserve"> </w:t>
      </w:r>
      <w:r>
        <w:t xml:space="preserve">PARTIAL edges into VERIFIED.</w:t>
      </w:r>
    </w:p>
    <w:p>
      <w:pPr>
        <w:pStyle w:val="BodyText"/>
      </w:pPr>
      <w:r>
        <w:t xml:space="preserve">Of 24 evaluable edges (one SnpToPhenotype source was inaccessible at audit</w:t>
      </w:r>
      <w:r>
        <w:t xml:space="preserve"> </w:t>
      </w:r>
      <w:r>
        <w:t xml:space="preserve">time and was therefore classified NA), 15 (62%, 95% Wilson CI [43, 79]%) were</w:t>
      </w:r>
      <w:r>
        <w:t xml:space="preserve"> </w:t>
      </w:r>
      <w:r>
        <w:t xml:space="preserve">classified VERIFIED, 7 (29%, 95% CI [14, 51]%) PARTIAL, and 2 (8%, 95% CI [2,</w:t>
      </w:r>
      <w:r>
        <w:t xml:space="preserve"> </w:t>
      </w:r>
      <w:r>
        <w:t xml:space="preserve">26]%) UNVERIFIED. Per-edge-type rates are reported in Table 4. The combined</w:t>
      </w:r>
      <w:r>
        <w:t xml:space="preserve"> </w:t>
      </w:r>
      <w:r>
        <w:t xml:space="preserve">VERIFIED + PARTIAL rate of 91% indicates that essentially all sampled edges</w:t>
      </w:r>
      <w:r>
        <w:t xml:space="preserve"> </w:t>
      </w:r>
      <w:r>
        <w:t xml:space="preserve">derive from on-topic primary sources; the gap between the strict-VERIFIED</w:t>
      </w:r>
      <w:r>
        <w:t xml:space="preserve"> </w:t>
      </w:r>
      <w:r>
        <w:t xml:space="preserve">rate (62%) and this combined rate (91%) primarily reflects the limited</w:t>
      </w:r>
      <w:r>
        <w:t xml:space="preserve"> </w:t>
      </w:r>
      <w:r>
        <w:t xml:space="preserve">information density of abstracts relative to full-text articles, rather than</w:t>
      </w:r>
      <w:r>
        <w:t xml:space="preserve"> </w:t>
      </w:r>
      <w:r>
        <w:t xml:space="preserve">data quality concerns. The two UNVERIFIED edges, identified during this audit,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Lactiplantibacillus plantarum</w:t>
      </w:r>
      <w:r>
        <w:t xml:space="preserve"> </w:t>
      </w:r>
      <w:r>
        <w:t xml:space="preserve">→ ascorbic acid edge from gutMGene</w:t>
      </w:r>
      <w:r>
        <w:t xml:space="preserve"> </w:t>
      </w:r>
      <w:r>
        <w:t xml:space="preserve">(</w:t>
      </w:r>
      <w:r>
        <w:rPr>
          <w:iCs/>
          <w:i/>
        </w:rPr>
        <w:t xml:space="preserve">L. plantarum</w:t>
      </w:r>
      <w:r>
        <w:t xml:space="preserve"> </w:t>
      </w:r>
      <w:r>
        <w:t xml:space="preserve">is a known ascorbate consumer rather than producer in</w:t>
      </w:r>
      <w:r>
        <w:t xml:space="preserve"> </w:t>
      </w:r>
      <w:r>
        <w:t xml:space="preserve">established biochemistry) and a single SnpToPhenotype edge whose cited cohort</w:t>
      </w:r>
      <w:r>
        <w:t xml:space="preserve"> </w:t>
      </w:r>
      <w:r>
        <w:t xml:space="preserve">context did not match the indexed disease label. Both have been documented</w:t>
      </w:r>
      <w:r>
        <w:t xml:space="preserve"> </w:t>
      </w:r>
      <w:r>
        <w:t xml:space="preserve">in our project’s issue tracker for upstream curator review and will be</w:t>
      </w:r>
      <w:r>
        <w:t xml:space="preserve"> </w:t>
      </w:r>
      <w:r>
        <w:t xml:space="preserve">addressed in v1.1 of NuGeMi-KG. Overall, the audit indicates that the KG’s</w:t>
      </w:r>
      <w:r>
        <w:t xml:space="preserve"> </w:t>
      </w:r>
      <w:r>
        <w:t xml:space="preserve">edges are well-grounded in published evidence and that the small number of</w:t>
      </w:r>
      <w:r>
        <w:t xml:space="preserve"> </w:t>
      </w:r>
      <w:r>
        <w:t xml:space="preserve">problematic edges are individually tractable to identify and correct.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t xml:space="preserve">Manual audit of 25 stratified-random edges (24 evaluable; one SnpToPhenotype source was inaccessible at audit time). Verification rates use Wilson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SnpToPhenotype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[19, 81]%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MicrobeToGene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[43, 79]%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 definitions.</w:t>
      </w:r>
      <w:r>
        <w:t xml:space="preserve"> </w:t>
      </w:r>
      <w:r>
        <w:t xml:space="preserve">VERIFIED: source’s abstract explicitly states the encoded relationship. PARTIAL: source mentions both entities and is on-topic, but the abstract does not state the relationship (typically present in supplementary tables, results figures, or full text only). UNVERIFIED: source does not support the relationship. NA: source inaccessible at audit time.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Sampling: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, seed=42; verdicts:</w:t>
      </w:r>
      <w:r>
        <w:t xml:space="preserve"> </w:t>
      </w:r>
      <w:r>
        <w:rPr>
          <w:rStyle w:val="VerbatimChar"/>
        </w:rPr>
        <w:t xml:space="preserve">audit/edge_sample_25.tsv</w:t>
      </w:r>
      <w:r>
        <w:t xml:space="preserve">; scoring: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.</w:t>
      </w:r>
    </w:p>
    <w:bookmarkEnd w:id="44"/>
    <w:bookmarkEnd w:id="45"/>
    <w:bookmarkStart w:id="51" w:name="discussion"/>
    <w:p>
      <w:pPr>
        <w:pStyle w:val="Heading2"/>
      </w:pPr>
      <w:r>
        <w:t xml:space="preserve">6 Discussion</w:t>
      </w:r>
    </w:p>
    <w:bookmarkStart w:id="46" w:name="principal-findings"/>
    <w:p>
      <w:pPr>
        <w:pStyle w:val="Heading3"/>
      </w:pPr>
      <w:r>
        <w:t xml:space="preserve">6.1 Principal findings</w:t>
      </w:r>
    </w:p>
    <w:p>
      <w:pPr>
        <w:pStyle w:val="FirstParagraph"/>
      </w:pPr>
      <w:r>
        <w:t xml:space="preserve">NuGeMi-KG is, to our knowledge, the first publicly released knowledge graph</w:t>
      </w:r>
      <w:r>
        <w:t xml:space="preserve"> </w:t>
      </w:r>
      <w:r>
        <w:t xml:space="preserve">that integrates host nutrigenetics, gut microbial activity, and food</w:t>
      </w:r>
      <w:r>
        <w:t xml:space="preserve"> </w:t>
      </w:r>
      <w:r>
        <w:t xml:space="preserve">composition under a single ontology-aligned schema. Three findings from the</w:t>
      </w:r>
      <w:r>
        <w:t xml:space="preserve"> </w:t>
      </w:r>
      <w:r>
        <w:t xml:space="preserve">present work establish the resource’s utility. First, the tri-layer</w:t>
      </w:r>
      <w:r>
        <w:t xml:space="preserve"> </w:t>
      </w:r>
      <w:r>
        <w:t xml:space="preserve">schema (Figure 2) is sufficient to express full five-hop precision-nutrition</w:t>
      </w:r>
      <w:r>
        <w:t xml:space="preserve"> </w:t>
      </w:r>
      <w:r>
        <w:t xml:space="preserve">queries in a single Cypher statement (CQ11), demonstrating that integration</w:t>
      </w:r>
      <w:r>
        <w:t xml:space="preserve"> </w:t>
      </w:r>
      <w:r>
        <w:t xml:space="preserve">across the three layers is not merely structural but query-actionable.</w:t>
      </w:r>
      <w:r>
        <w:t xml:space="preserve"> </w:t>
      </w:r>
      <w:r>
        <w:t xml:space="preserve">Second, the convergence of microbial, genetic, and phenotypic evidence on</w:t>
      </w:r>
      <w:r>
        <w:t xml:space="preserve"> </w:t>
      </w:r>
      <w:r>
        <w:t xml:space="preserve">specific host genes — PPARG, VEGFA, HNF4A, ANGPTL4 — recapitulates</w:t>
      </w:r>
      <w:r>
        <w:t xml:space="preserve"> </w:t>
      </w:r>
      <w:r>
        <w:t xml:space="preserve">mechanistically established cardiometabolic loci without these genes being</w:t>
      </w:r>
      <w:r>
        <w:t xml:space="preserve"> </w:t>
      </w:r>
      <w:r>
        <w:t xml:space="preserve">hard-coded into any layer of the integration pipeline; this constitutes a</w:t>
      </w:r>
      <w:r>
        <w:t xml:space="preserve"> </w:t>
      </w:r>
      <w:r>
        <w:t xml:space="preserve">form of internal validation. Third, the manual audit demonstrates that 91%</w:t>
      </w:r>
      <w:r>
        <w:t xml:space="preserve"> </w:t>
      </w:r>
      <w:r>
        <w:t xml:space="preserve">of sampled edges have direct primary-literature support, with the remaining</w:t>
      </w:r>
      <w:r>
        <w:t xml:space="preserve"> </w:t>
      </w:r>
      <w:r>
        <w:t xml:space="preserve">9% comprising specific, individually tractable curation issues in the</w:t>
      </w:r>
      <w:r>
        <w:t xml:space="preserve"> </w:t>
      </w:r>
      <w:r>
        <w:t xml:space="preserve">upstream sources rather than integration errors.</w:t>
      </w:r>
    </w:p>
    <w:bookmarkEnd w:id="46"/>
    <w:bookmarkStart w:id="47" w:name="comparison-with-existing-resources"/>
    <w:p>
      <w:pPr>
        <w:pStyle w:val="Heading3"/>
      </w:pPr>
      <w:r>
        <w:t xml:space="preserve">6.2 Comparison with existing resources</w:t>
      </w:r>
    </w:p>
    <w:p>
      <w:pPr>
        <w:pStyle w:val="FirstParagraph"/>
      </w:pPr>
      <w:r>
        <w:t xml:space="preserve">Several established biomedical knowledge graphs cover subsets of NuGeMi-KG’s</w:t>
      </w:r>
      <w:r>
        <w:t xml:space="preserve"> </w:t>
      </w:r>
      <w:r>
        <w:t xml:space="preserve">content. PrimeKG (Chandak et al. 2023) integrates twenty primary biomedical</w:t>
      </w:r>
      <w:r>
        <w:t xml:space="preserve"> </w:t>
      </w:r>
      <w:r>
        <w:t xml:space="preserve">resources to describe over 17,000 diseases, but does not include food</w:t>
      </w:r>
      <w:r>
        <w:t xml:space="preserve"> </w:t>
      </w:r>
      <w:r>
        <w:t xml:space="preserve">composition or microbiome data; cross-layer queries of the form expressible</w:t>
      </w:r>
      <w:r>
        <w:t xml:space="preserve"> </w:t>
      </w:r>
      <w:r>
        <w:t xml:space="preserve">in NuGeMi-KG are therefore not supported. The Monarch Initiative knowledge</w:t>
      </w:r>
      <w:r>
        <w:t xml:space="preserve"> </w:t>
      </w:r>
      <w:r>
        <w:t xml:space="preserve">graph (Putman et al. 2024) provides extensive disease–gene–phenotype</w:t>
      </w:r>
      <w:r>
        <w:t xml:space="preserve"> </w:t>
      </w:r>
      <w:r>
        <w:t xml:space="preserve">integration across species and shares NuGeMi-KG’s Biolink alignment, but</w:t>
      </w:r>
      <w:r>
        <w:t xml:space="preserve"> </w:t>
      </w:r>
      <w:r>
        <w:t xml:space="preserve">similarly lacks both nutritional and microbial layers. Microbe-centric</w:t>
      </w:r>
      <w:r>
        <w:t xml:space="preserve"> </w:t>
      </w:r>
      <w:r>
        <w:t xml:space="preserve">resources such as KGMicrobe capture microbe–disease</w:t>
      </w:r>
      <w:r>
        <w:t xml:space="preserve"> </w:t>
      </w:r>
      <w:r>
        <w:t xml:space="preserve">associations without GWAS-level genetic evidence, while food-chemistry</w:t>
      </w:r>
      <w:r>
        <w:t xml:space="preserve"> </w:t>
      </w:r>
      <w:r>
        <w:t xml:space="preserve">resources such as FooDB and the Virtual Metabolic Human (VMH) catalogue</w:t>
      </w:r>
      <w:r>
        <w:t xml:space="preserve"> </w:t>
      </w:r>
      <w:r>
        <w:t xml:space="preserve">food composition without linking it to host genetic variation.</w:t>
      </w:r>
      <w:r>
        <w:t xml:space="preserve"> </w:t>
      </w:r>
      <w:r>
        <w:t xml:space="preserve">NuGeMi-KG’s contribution is therefore not the volume of data — at 55,263</w:t>
      </w:r>
      <w:r>
        <w:t xml:space="preserve"> </w:t>
      </w:r>
      <w:r>
        <w:t xml:space="preserve">nodes it is two orders of magnitude smaller than PrimeKG — but the</w:t>
      </w:r>
      <w:r>
        <w:t xml:space="preserve"> </w:t>
      </w:r>
      <w:r>
        <w:t xml:space="preserve">structural property that a single five-hop query can traverse all three</w:t>
      </w:r>
      <w:r>
        <w:t xml:space="preserve"> </w:t>
      </w:r>
      <w:r>
        <w:t xml:space="preserve">biological dimensions simultaneously.</w:t>
      </w:r>
    </w:p>
    <w:bookmarkEnd w:id="47"/>
    <w:bookmarkStart w:id="48" w:name="methodological-insights"/>
    <w:p>
      <w:pPr>
        <w:pStyle w:val="Heading3"/>
      </w:pPr>
      <w:r>
        <w:t xml:space="preserve">6.3 Methodological insights</w:t>
      </w:r>
    </w:p>
    <w:p>
      <w:pPr>
        <w:pStyle w:val="FirstParagraph"/>
      </w:pPr>
      <w:r>
        <w:t xml:space="preserve">Three implementation choices proved unexpectedly consequential during</w:t>
      </w:r>
      <w:r>
        <w:t xml:space="preserve"> </w:t>
      </w:r>
      <w:r>
        <w:t xml:space="preserve">development. First, BioCypher silently drops edge properties that are not</w:t>
      </w:r>
      <w:r>
        <w:t xml:space="preserve"> </w:t>
      </w:r>
      <w:r>
        <w:t xml:space="preserve">explicitly declared in the schema configuration (</w:t>
      </w:r>
      <w:r>
        <w:rPr>
          <w:rStyle w:val="VerbatimChar"/>
        </w:rPr>
        <w:t xml:space="preserve">schema_config.yaml</w:t>
      </w:r>
      <w:r>
        <w:t xml:space="preserve">); this</w:t>
      </w:r>
      <w:r>
        <w:t xml:space="preserve"> </w:t>
      </w:r>
      <w:r>
        <w:t xml:space="preserve">behaviour is logged at INFO level rather than as a warning, and was</w:t>
      </w:r>
      <w:r>
        <w:t xml:space="preserve"> </w:t>
      </w:r>
      <w:r>
        <w:t xml:space="preserve">identified only during manual audit when PMIDs appeared to be missing from</w:t>
      </w:r>
      <w:r>
        <w:t xml:space="preserve"> </w:t>
      </w:r>
      <w:r>
        <w:t xml:space="preserve">edges that the source data demonstrably contained them. Explicitly</w:t>
      </w:r>
      <w:r>
        <w:t xml:space="preserve"> </w:t>
      </w:r>
      <w:r>
        <w:t xml:space="preserve">enumerating all retained properties — including provenance fields such as</w:t>
      </w:r>
      <w:r>
        <w:t xml:space="preserve"> </w:t>
      </w:r>
      <w:r>
        <w:t xml:space="preserve">PMID and condition — should be considered a best practice for any</w:t>
      </w:r>
      <w:r>
        <w:t xml:space="preserve"> </w:t>
      </w:r>
      <w:r>
        <w:t xml:space="preserve">BioCypher-based pipeline. Second, gutMGene’s CSV export uses a fill-down</w:t>
      </w:r>
      <w:r>
        <w:t xml:space="preserve"> </w:t>
      </w:r>
      <w:r>
        <w:t xml:space="preserve">convention in which subsequent rows of the same evidence group inherit the</w:t>
      </w:r>
      <w:r>
        <w:t xml:space="preserve"> </w:t>
      </w:r>
      <w:r>
        <w:t xml:space="preserve">PMID from the first row, leaving subsequent rows blank in raw export;</w:t>
      </w:r>
      <w:r>
        <w:t xml:space="preserve"> </w:t>
      </w:r>
      <w:r>
        <w:t xml:space="preserve">forward-filling is therefore necessary at adapter level. Third, deduplication</w:t>
      </w:r>
      <w:r>
        <w:t xml:space="preserve"> </w:t>
      </w:r>
      <w:r>
        <w:t xml:space="preserve">of literature-redundant edges (the same microbe–metabolite pair reported in</w:t>
      </w:r>
      <w:r>
        <w:t xml:space="preserve"> </w:t>
      </w:r>
      <w:r>
        <w:t xml:space="preserve">multiple studies) materially affected query results: pre-deduplication, CQ3</w:t>
      </w:r>
      <w:r>
        <w:t xml:space="preserve"> </w:t>
      </w:r>
      <w:r>
        <w:t xml:space="preserve">returned five duplicate</w:t>
      </w:r>
      <w:r>
        <w:t xml:space="preserve"> </w:t>
      </w:r>
      <w:r>
        <w:rPr>
          <w:iCs/>
          <w:i/>
        </w:rPr>
        <w:t xml:space="preserve">C. minuta</w:t>
      </w:r>
      <w:r>
        <w:t xml:space="preserve"> </w:t>
      </w:r>
      <w:r>
        <w:t xml:space="preserve">→ Acetate rows; post-deduplication, the</w:t>
      </w:r>
      <w:r>
        <w:t xml:space="preserve"> </w:t>
      </w:r>
      <w:r>
        <w:t xml:space="preserve">same query returned a clean ranked list of distinct microbe–metabolite pairs.</w:t>
      </w:r>
    </w:p>
    <w:bookmarkEnd w:id="48"/>
    <w:bookmarkStart w:id="49" w:name="limitations"/>
    <w:p>
      <w:pPr>
        <w:pStyle w:val="Heading3"/>
      </w:pPr>
      <w:r>
        <w:t xml:space="preserve">6.4 Limitations</w:t>
      </w:r>
    </w:p>
    <w:p>
      <w:pPr>
        <w:pStyle w:val="FirstParagraph"/>
      </w:pPr>
      <w:r>
        <w:t xml:space="preserve">Three limitations bound the resource’s current scope. First, NuGeMi-KG is</w:t>
      </w:r>
      <w:r>
        <w:t xml:space="preserve"> </w:t>
      </w:r>
      <w:r>
        <w:t xml:space="preserve">restricted to cardiometabolic phenotypes (eleven MONDO classes); extension</w:t>
      </w:r>
      <w:r>
        <w:t xml:space="preserve"> </w:t>
      </w:r>
      <w:r>
        <w:t xml:space="preserve">to other complex diseases requires re-running the GWAS adapter with a new</w:t>
      </w:r>
      <w:r>
        <w:t xml:space="preserve"> </w:t>
      </w:r>
      <w:r>
        <w:t xml:space="preserve">keyword filter and adjusting the gutMGene DOID-to-MONDO mapping. Second,</w:t>
      </w:r>
      <w:r>
        <w:t xml:space="preserve"> </w:t>
      </w:r>
      <w:r>
        <w:t xml:space="preserve">the microbiome layer inherits gutMGene’s coverage limitations: of 192</w:t>
      </w:r>
      <w:r>
        <w:t xml:space="preserve"> </w:t>
      </w:r>
      <w:r>
        <w:t xml:space="preserve">included microbes, only one is directly annotated with obesity in the</w:t>
      </w:r>
      <w:r>
        <w:t xml:space="preserve"> </w:t>
      </w:r>
      <w:r>
        <w:t xml:space="preserve">source database, which limits the expressiveness of microbe-to-phenotype</w:t>
      </w:r>
      <w:r>
        <w:t xml:space="preserve"> </w:t>
      </w:r>
      <w:r>
        <w:t xml:space="preserve">direct queries (CQ6). Cross-layer paths via shared host genes (CQ7, CQ12,</w:t>
      </w:r>
      <w:r>
        <w:t xml:space="preserve"> </w:t>
      </w:r>
      <w:r>
        <w:t xml:space="preserve">CQ14) substantially mitigate this. Third, the food layer uses USDA’s</w:t>
      </w:r>
      <w:r>
        <w:t xml:space="preserve"> </w:t>
      </w:r>
      <w:r>
        <w:t xml:space="preserve">Foundation Foods subset (358 foods); broader coverage will require</w:t>
      </w:r>
      <w:r>
        <w:t xml:space="preserve"> </w:t>
      </w:r>
      <w:r>
        <w:t xml:space="preserve">incorporating additional food-composition resources such as FooDB and</w:t>
      </w:r>
      <w:r>
        <w:t xml:space="preserve"> </w:t>
      </w:r>
      <w:r>
        <w:t xml:space="preserve">mapping their identifiers to FDC. Finally, the manual audit (n=24</w:t>
      </w:r>
      <w:r>
        <w:t xml:space="preserve"> </w:t>
      </w:r>
      <w:r>
        <w:t xml:space="preserve">evaluable) is statistically appropriate for an initial release but a</w:t>
      </w:r>
      <w:r>
        <w:t xml:space="preserve"> </w:t>
      </w:r>
      <w:r>
        <w:t xml:space="preserve">larger second-annotator audit would tighten the strict-VERIFIED</w:t>
      </w:r>
      <w:r>
        <w:t xml:space="preserve"> </w:t>
      </w:r>
      <w:r>
        <w:t xml:space="preserve">confidence interval; this is planned for v1.1.</w:t>
      </w:r>
    </w:p>
    <w:bookmarkEnd w:id="49"/>
    <w:bookmarkStart w:id="50" w:name="implications-and-future-work"/>
    <w:p>
      <w:pPr>
        <w:pStyle w:val="Heading3"/>
      </w:pPr>
      <w:r>
        <w:t xml:space="preserve">6.5 Implications and future work</w:t>
      </w:r>
    </w:p>
    <w:p>
      <w:pPr>
        <w:pStyle w:val="FirstParagraph"/>
      </w:pPr>
      <w:r>
        <w:t xml:space="preserve">NuGeMi-KG is designed for hypothesis generation rather than statistical</w:t>
      </w:r>
      <w:r>
        <w:t xml:space="preserve"> </w:t>
      </w:r>
      <w:r>
        <w:t xml:space="preserve">inference. A typical user-facing workflow combines a Cypher query that</w:t>
      </w:r>
      <w:r>
        <w:t xml:space="preserve"> </w:t>
      </w:r>
      <w:r>
        <w:t xml:space="preserve">identifies candidate cross-layer relationships, manual review of the</w:t>
      </w:r>
      <w:r>
        <w:t xml:space="preserve"> </w:t>
      </w:r>
      <w:r>
        <w:t xml:space="preserve">underlying primary sources via the embedded PMIDs, and downstream</w:t>
      </w:r>
      <w:r>
        <w:t xml:space="preserve"> </w:t>
      </w:r>
      <w:r>
        <w:t xml:space="preserve">experimental or epidemiological validation in independent cohorts. We</w:t>
      </w:r>
      <w:r>
        <w:t xml:space="preserve"> </w:t>
      </w:r>
      <w:r>
        <w:t xml:space="preserve">anticipate three application directions: (i) nutrigenetic hypothesis</w:t>
      </w:r>
      <w:r>
        <w:t xml:space="preserve"> </w:t>
      </w:r>
      <w:r>
        <w:t xml:space="preserve">generation for diet-modifiable risk modifiers conditioned on a person’s</w:t>
      </w:r>
      <w:r>
        <w:t xml:space="preserve"> </w:t>
      </w:r>
      <w:r>
        <w:t xml:space="preserve">genotype; (ii) drug-repurposing screens that cross-reference microbial</w:t>
      </w:r>
      <w:r>
        <w:t xml:space="preserve"> </w:t>
      </w:r>
      <w:r>
        <w:t xml:space="preserve">metabolites against approved-drug targets; and (iii) SNP-aware dietary</w:t>
      </w:r>
      <w:r>
        <w:t xml:space="preserve"> </w:t>
      </w:r>
      <w:r>
        <w:t xml:space="preserve">recommendation systems for clinical-translational tools. Planned future</w:t>
      </w:r>
      <w:r>
        <w:t xml:space="preserve"> </w:t>
      </w:r>
      <w:r>
        <w:t xml:space="preserve">work includes incorporation of UK Biobank cardiometabolic GWAS summary</w:t>
      </w:r>
      <w:r>
        <w:t xml:space="preserve"> </w:t>
      </w:r>
      <w:r>
        <w:t xml:space="preserve">statistics, integration of KGMicrobe’s broader microbial functional</w:t>
      </w:r>
      <w:r>
        <w:t xml:space="preserve"> </w:t>
      </w:r>
      <w:r>
        <w:t xml:space="preserve">annotation, and a second-annotator audit cycle.</w:t>
      </w:r>
    </w:p>
    <w:bookmarkEnd w:id="50"/>
    <w:bookmarkEnd w:id="51"/>
    <w:bookmarkStart w:id="52" w:name="conclusion"/>
    <w:p>
      <w:pPr>
        <w:pStyle w:val="Heading2"/>
      </w:pPr>
      <w:r>
        <w:t xml:space="preserve">7 Conclusion</w:t>
      </w:r>
    </w:p>
    <w:p>
      <w:pPr>
        <w:pStyle w:val="FirstParagraph"/>
      </w:pPr>
      <w:r>
        <w:t xml:space="preserve">We have presented NuGeMi-KG, a tri-layer knowledge graph that integrates</w:t>
      </w:r>
      <w:r>
        <w:t xml:space="preserve"> </w:t>
      </w:r>
      <w:r>
        <w:t xml:space="preserve">nutrigenetics, gut microbiome, and food chemistry under a single</w:t>
      </w:r>
      <w:r>
        <w:t xml:space="preserve"> </w:t>
      </w:r>
      <w:r>
        <w:t xml:space="preserve">Biolink-aligned schema specifically designed to support cardiometabolic</w:t>
      </w:r>
      <w:r>
        <w:t xml:space="preserve"> </w:t>
      </w:r>
      <w:r>
        <w:t xml:space="preserve">precision-nutrition research. The resource contains 55,263 nodes and</w:t>
      </w:r>
      <w:r>
        <w:t xml:space="preserve"> </w:t>
      </w:r>
      <w:r>
        <w:t xml:space="preserve">85,308 edges across eight node types and nine edge types, with 100%</w:t>
      </w:r>
      <w:r>
        <w:t xml:space="preserve"> </w:t>
      </w:r>
      <w:r>
        <w:t xml:space="preserve">PubMed citation coverage on its literature-derived edges. We defined</w:t>
      </w:r>
      <w:r>
        <w:t xml:space="preserve"> </w:t>
      </w:r>
      <w:r>
        <w:t xml:space="preserve">fifteen competency questions to evaluate the schema, of which fourteen</w:t>
      </w:r>
      <w:r>
        <w:t xml:space="preserve"> </w:t>
      </w:r>
      <w:r>
        <w:t xml:space="preserve">return biologically meaningful results, including five tri-layer queries</w:t>
      </w:r>
      <w:r>
        <w:t xml:space="preserve"> </w:t>
      </w:r>
      <w:r>
        <w:t xml:space="preserve">that surface novel hypothesis-generation patterns — for example, the</w:t>
      </w:r>
      <w:r>
        <w:t xml:space="preserve"> </w:t>
      </w:r>
      <w:r>
        <w:t xml:space="preserve">convergence of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,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, and</w:t>
      </w:r>
      <w:r>
        <w:t xml:space="preserve"> </w:t>
      </w:r>
      <w:r>
        <w:t xml:space="preserve">forty-five cardiometabolic GWAS variants on PPARG. A manual audit of</w:t>
      </w:r>
      <w:r>
        <w:t xml:space="preserve"> </w:t>
      </w:r>
      <w:r>
        <w:t xml:space="preserve">twenty-four randomly sampled edges places the strict-protocol verification</w:t>
      </w:r>
      <w:r>
        <w:t xml:space="preserve"> </w:t>
      </w:r>
      <w:r>
        <w:t xml:space="preserve">rate at 62% (95% CI [43, 79]%), with 91% of sampled edges having direct</w:t>
      </w:r>
      <w:r>
        <w:t xml:space="preserve"> </w:t>
      </w:r>
      <w:r>
        <w:t xml:space="preserve">primary-literature support. The KG, source code, and reproducibility</w:t>
      </w:r>
      <w:r>
        <w:t xml:space="preserve"> </w:t>
      </w:r>
      <w:r>
        <w:t xml:space="preserve">artefacts are released under CC-BY-4.0 at https://github.com/sthoniyot/cardiometabolic-kg</w:t>
      </w:r>
      <w:r>
        <w:t xml:space="preserve"> </w:t>
      </w:r>
      <w:r>
        <w:t xml:space="preserve">and archived at Zenodo (DOI to be assigned). NuGeMi-KG is, to our knowledge,</w:t>
      </w:r>
      <w:r>
        <w:t xml:space="preserve"> </w:t>
      </w:r>
      <w:r>
        <w:t xml:space="preserve">the first publicly available resource in which a single graph query can</w:t>
      </w:r>
      <w:r>
        <w:t xml:space="preserve"> </w:t>
      </w:r>
      <w:r>
        <w:t xml:space="preserve">traverse food, microbiome, host genetics, and cardiometabolic phenotype in</w:t>
      </w:r>
      <w:r>
        <w:t xml:space="preserve"> </w:t>
      </w:r>
      <w:r>
        <w:t xml:space="preserve">one statement, and we anticipate that this property will support</w:t>
      </w:r>
      <w:r>
        <w:t xml:space="preserve"> </w:t>
      </w:r>
      <w:r>
        <w:t xml:space="preserve">hypothesis-generation workflows that have not previously been expressible</w:t>
      </w:r>
      <w:r>
        <w:t xml:space="preserve"> </w:t>
      </w:r>
      <w:r>
        <w:t xml:space="preserve">against any single public knowledge graph.</w:t>
      </w:r>
    </w:p>
    <w:bookmarkEnd w:id="52"/>
    <w:bookmarkStart w:id="53" w:name="code-availability"/>
    <w:p>
      <w:pPr>
        <w:pStyle w:val="Heading2"/>
      </w:pPr>
      <w:r>
        <w:t xml:space="preserve">8 Code Availability</w:t>
      </w:r>
    </w:p>
    <w:p>
      <w:pPr>
        <w:pStyle w:val="FirstParagraph"/>
      </w:pPr>
      <w:r>
        <w:t xml:space="preserve">All source code, build scripts, schema configuration, competency-query</w:t>
      </w:r>
      <w:r>
        <w:t xml:space="preserve"> </w:t>
      </w:r>
      <w:r>
        <w:t xml:space="preserve">files, and audit data are released under CC-BY-4.0 at</w:t>
      </w:r>
      <w:r>
        <w:t xml:space="preserve"> </w:t>
      </w:r>
      <w:r>
        <w:t xml:space="preserve">https://github.com/sthoniyot/cardiometabolic-kg and archived at Zenodo</w:t>
      </w:r>
      <w:r>
        <w:t xml:space="preserve"> </w:t>
      </w:r>
      <w:r>
        <w:t xml:space="preserve">(DOI: 10.5281/zenodo.PLACEHOLDER). Pre-built Neo4j database dumps and</w:t>
      </w:r>
      <w:r>
        <w:t xml:space="preserve"> </w:t>
      </w:r>
      <w:r>
        <w:t xml:space="preserve">BioCypher CSV exports are available in the same Zenodo deposit. The</w:t>
      </w:r>
      <w:r>
        <w:t xml:space="preserve"> </w:t>
      </w:r>
      <w:r>
        <w:t xml:space="preserve">software stack is Python 3.11, BioCypher 0.8.0, Neo4j 5.x, and the</w:t>
      </w:r>
      <w:r>
        <w:t xml:space="preserve"> </w:t>
      </w:r>
      <w:r>
        <w:t xml:space="preserve">Neo4j Python driver ≥5.0; full pinned dependencies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53"/>
    <w:bookmarkEnd w:id="54"/>
    <w:bookmarkStart w:id="63" w:name="figure-captions"/>
    <w:p>
      <w:pPr>
        <w:pStyle w:val="Heading1"/>
      </w:pPr>
      <w:r>
        <w:t xml:space="preserve">Figure captions</w:t>
      </w:r>
    </w:p>
    <w:bookmarkStart w:id="55" w:name="X31eb2952c0ce1ed62efb66188f82029b817b965"/>
    <w:p>
      <w:pPr>
        <w:pStyle w:val="Heading2"/>
      </w:pPr>
      <w:r>
        <w:t xml:space="preserve">Figure 1. Cardiometabolic knowledge graph at scale.</w:t>
      </w:r>
    </w:p>
    <w:p>
      <w:pPr>
        <w:pStyle w:val="FirstParagraph"/>
      </w:pPr>
      <w:r>
        <w:t xml:space="preserve">The full NuGeMi-KG visualised in Neo4j Browser. Nodes are coloured by type</w:t>
      </w:r>
      <w:r>
        <w:t xml:space="preserve"> </w:t>
      </w:r>
      <w:r>
        <w:t xml:space="preserve">(SNPs, dark blue; genes, orange; phenotypes, red; microbes, cyan; nutrients,</w:t>
      </w:r>
      <w:r>
        <w:t xml:space="preserve"> </w:t>
      </w:r>
      <w:r>
        <w:t xml:space="preserve">green; foods, yellow); edges by relationship type (Methods §3.2). The graph</w:t>
      </w:r>
      <w:r>
        <w:t xml:space="preserve"> </w:t>
      </w:r>
      <w:r>
        <w:t xml:space="preserve">contains 55,263 nodes and 85,308 edges. Layout is force-directed and not</w:t>
      </w:r>
      <w:r>
        <w:t xml:space="preserve"> </w:t>
      </w:r>
      <w:r>
        <w:t xml:space="preserve">biologically meaningful at this density; the figure is provided to convey</w:t>
      </w:r>
      <w:r>
        <w:t xml:space="preserve"> </w:t>
      </w:r>
      <w:r>
        <w:t xml:space="preserve">overall scale and the relative size of each layer. Two structural features</w:t>
      </w:r>
      <w:r>
        <w:t xml:space="preserve"> </w:t>
      </w:r>
      <w:r>
        <w:t xml:space="preserve">are visible at this resolution: (i) the dense blue mass at left is the</w:t>
      </w:r>
      <w:r>
        <w:t xml:space="preserve"> </w:t>
      </w:r>
      <w:r>
        <w:t xml:space="preserve">genetics layer (47,718 SNPs converging on a smaller set of genes and 11</w:t>
      </w:r>
      <w:r>
        <w:t xml:space="preserve"> </w:t>
      </w:r>
      <w:r>
        <w:t xml:space="preserve">cardiometabolic phenotypes), and (ii) the smaller cyan-and-green cluster at</w:t>
      </w:r>
      <w:r>
        <w:t xml:space="preserve"> </w:t>
      </w:r>
      <w:r>
        <w:t xml:space="preserve">the right is the literature-curated microbiome–metabolite layer connecting</w:t>
      </w:r>
      <w:r>
        <w:t xml:space="preserve"> </w:t>
      </w:r>
      <w:r>
        <w:t xml:space="preserve">into the central genes layer through ~180 microbe→host-gene edges. The food-</w:t>
      </w:r>
      <w:r>
        <w:t xml:space="preserve"> </w:t>
      </w:r>
      <w:r>
        <w:t xml:space="preserve">chemistry layer (yellow) attaches via shared nutrient nodes (green). Detailed</w:t>
      </w:r>
      <w:r>
        <w:t xml:space="preserve"> </w:t>
      </w:r>
      <w:r>
        <w:t xml:space="preserve">schema-level views and tri-layer query results are shown in Figures 2 and 3</w:t>
      </w:r>
      <w:r>
        <w:t xml:space="preserve"> </w:t>
      </w:r>
      <w:r>
        <w:t xml:space="preserve">respectively.</w:t>
      </w:r>
    </w:p>
    <w:bookmarkEnd w:id="55"/>
    <w:bookmarkStart w:id="56" w:name="X6f769ae58663be88121c6f91b888c353c6132aa"/>
    <w:p>
      <w:pPr>
        <w:pStyle w:val="Heading2"/>
      </w:pPr>
      <w:r>
        <w:t xml:space="preserve">Figure 2. Schema of the NuGeMi-KG knowledge graph.</w:t>
      </w:r>
    </w:p>
    <w:p>
      <w:pPr>
        <w:pStyle w:val="FirstParagraph"/>
      </w:pPr>
      <w:r>
        <w:t xml:space="preserve">Abstract schema visualised via Neo4j’s</w:t>
      </w:r>
      <w:r>
        <w:t xml:space="preserve"> </w:t>
      </w:r>
      <w:r>
        <w:rPr>
          <w:rStyle w:val="VerbatimChar"/>
        </w:rPr>
        <w:t xml:space="preserve">db.schema.visualization()</w:t>
      </w:r>
      <w:r>
        <w:t xml:space="preserve"> </w:t>
      </w:r>
      <w:r>
        <w:t xml:space="preserve">procedure.</w:t>
      </w:r>
      <w:r>
        <w:t xml:space="preserve"> </w:t>
      </w:r>
      <w:r>
        <w:t xml:space="preserve">Eight node types (rectangles) are connected by nine edge types (labelled</w:t>
      </w:r>
      <w:r>
        <w:t xml:space="preserve"> </w:t>
      </w:r>
      <w:r>
        <w:t xml:space="preserve">arrows): genetics-internal (SnpToGene, SnpToPhenotype, GeneToPathway),</w:t>
      </w:r>
      <w:r>
        <w:t xml:space="preserve"> </w:t>
      </w:r>
      <w:r>
        <w:t xml:space="preserve">food-internal (FoodToNutrient), microbiome-internal (MicrobeToNutrient,</w:t>
      </w:r>
      <w:r>
        <w:t xml:space="preserve"> </w:t>
      </w:r>
      <w:r>
        <w:t xml:space="preserve">MicrobeToCazyme, MicrobeToGene) and three cross-layer edges</w:t>
      </w:r>
      <w:r>
        <w:t xml:space="preserve"> </w:t>
      </w:r>
      <w:r>
        <w:t xml:space="preserve">(NutrientToPhenotype, MicrobeToPhenotype, PhenotypeToPhenotype) that bridge</w:t>
      </w:r>
      <w:r>
        <w:t xml:space="preserve"> </w:t>
      </w:r>
      <w:r>
        <w:t xml:space="preserve">the three layers. Each node type is aligned to its parent class in the</w:t>
      </w:r>
      <w:r>
        <w:t xml:space="preserve"> </w:t>
      </w:r>
      <w:r>
        <w:t xml:space="preserve">Biolink Model v3.6 (Methods §3.2.2): for instance,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sequence_variant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organism_taxon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small_molecule</w:t>
      </w:r>
      <w:r>
        <w:t xml:space="preserve">. All edge types inherit from Biolink’s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 </w:t>
      </w:r>
      <w:r>
        <w:t xml:space="preserve">class and carry per-edge provenance properties (PMID, evidence tier, and</w:t>
      </w:r>
      <w:r>
        <w:t xml:space="preserve"> </w:t>
      </w:r>
      <w:r>
        <w:t xml:space="preserve">where applicable, p-value or effect size). The schema is the primary</w:t>
      </w:r>
      <w:r>
        <w:t xml:space="preserve"> </w:t>
      </w:r>
      <w:r>
        <w:t xml:space="preserve">contribution of NuGeMi-KG: it is the structural pattern that allows queries</w:t>
      </w:r>
      <w:r>
        <w:t xml:space="preserve"> </w:t>
      </w:r>
      <w:r>
        <w:t xml:space="preserve">to traverse from food through microbiome through genetics to phenotype in a</w:t>
      </w:r>
      <w:r>
        <w:t xml:space="preserve"> </w:t>
      </w:r>
      <w:r>
        <w:t xml:space="preserve">single Cypher statement (cf. Figure 3).</w:t>
      </w:r>
    </w:p>
    <w:bookmarkEnd w:id="56"/>
    <w:bookmarkStart w:id="57" w:name="X4457906bebf92b80f0616bf3b994a48eaf00c49"/>
    <w:p>
      <w:pPr>
        <w:pStyle w:val="Heading2"/>
      </w:pPr>
      <w:r>
        <w:t xml:space="preserve">Figure 3. PPARG as a tri-layer convergence point in cardiometabolic disease.</w:t>
      </w:r>
    </w:p>
    <w:p>
      <w:pPr>
        <w:pStyle w:val="FirstParagraph"/>
      </w:pPr>
      <w:r>
        <w:t xml:space="preserve">Result of competency question CQ12, visualised in Neo4j Browser. The host gene</w:t>
      </w:r>
      <w:r>
        <w:t xml:space="preserve"> </w:t>
      </w:r>
      <w:r>
        <w:t xml:space="preserve">PPARG (orange, centre) is jointly modulated by two gut microbes from gutMGene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(cyan) — and carries</w:t>
      </w:r>
      <w:r>
        <w:t xml:space="preserve"> </w:t>
      </w:r>
      <w:r>
        <w:t xml:space="preserve">45 distinct cardiometabolic GWAS variants from the GWAS Catalog, of which the</w:t>
      </w:r>
      <w:r>
        <w:t xml:space="preserve"> </w:t>
      </w:r>
      <w:r>
        <w:t xml:space="preserve">eight chromosome-3 SNPs in closest physical proximity to the PPARG locus are</w:t>
      </w:r>
      <w:r>
        <w:t xml:space="preserve"> </w:t>
      </w:r>
      <w:r>
        <w:t xml:space="preserve">shown (dark blue, with rsIDs as captions). Both microbes are connected to</w:t>
      </w:r>
      <w:r>
        <w:t xml:space="preserve"> </w:t>
      </w:r>
      <w:r>
        <w:t xml:space="preserve">PPARG via causal</w:t>
      </w:r>
      <w:r>
        <w:t xml:space="preserve"> </w:t>
      </w:r>
      <w:r>
        <w:rPr>
          <w:rStyle w:val="VerbatimChar"/>
        </w:rPr>
        <w:t xml:space="preserve">MicrobeToGene</w:t>
      </w:r>
      <w:r>
        <w:t xml:space="preserve"> </w:t>
      </w:r>
      <w:r>
        <w:t xml:space="preserve">edges curated by gutMGene; each rsID is</w:t>
      </w:r>
      <w:r>
        <w:t xml:space="preserve"> </w:t>
      </w:r>
      <w:r>
        <w:t xml:space="preserve">connected to PPARG via a</w:t>
      </w:r>
      <w:r>
        <w:t xml:space="preserve"> </w:t>
      </w:r>
      <w:r>
        <w:rPr>
          <w:rStyle w:val="VerbatimChar"/>
        </w:rPr>
        <w:t xml:space="preserve">SnpToGene</w:t>
      </w:r>
      <w:r>
        <w:t xml:space="preserve"> </w:t>
      </w:r>
      <w:r>
        <w:t xml:space="preserve">edge from the GWAS Catalog and to one or</w:t>
      </w:r>
      <w:r>
        <w:t xml:space="preserve"> </w:t>
      </w:r>
      <w:r>
        <w:t xml:space="preserve">more cardiometabolic phenotypes (red) via</w:t>
      </w:r>
      <w:r>
        <w:t xml:space="preserve"> </w:t>
      </w:r>
      <w:r>
        <w:rPr>
          <w:rStyle w:val="VerbatimChar"/>
        </w:rPr>
        <w:t xml:space="preserve">SnpToPhenotype</w:t>
      </w:r>
      <w:r>
        <w:t xml:space="preserve">. PPARG encodes the</w:t>
      </w:r>
      <w:r>
        <w:t xml:space="preserve"> </w:t>
      </w:r>
      <w:r>
        <w:t xml:space="preserve">PPARγ nuclear receptor, the molecular target of the thiazolidinedione class of</w:t>
      </w:r>
      <w:r>
        <w:t xml:space="preserve"> </w:t>
      </w:r>
      <w:r>
        <w:t xml:space="preserve">type-2-diabetes drugs and a known mediator of short-chain fatty acid signalling</w:t>
      </w:r>
      <w:r>
        <w:t xml:space="preserve"> </w:t>
      </w:r>
      <w:r>
        <w:t xml:space="preserve">from the gut microbiome. The convergence of microbial, genetic, and phenotypic</w:t>
      </w:r>
      <w:r>
        <w:t xml:space="preserve"> </w:t>
      </w:r>
      <w:r>
        <w:t xml:space="preserve">evidence on PPARG illustrates the principal hypothesis-generation pattern that</w:t>
      </w:r>
      <w:r>
        <w:t xml:space="preserve"> </w:t>
      </w:r>
      <w:r>
        <w:t xml:space="preserve">NuGeMi-KG is designed to support; analogous tri-layer hubs are returned for</w:t>
      </w:r>
      <w:r>
        <w:t xml:space="preserve"> </w:t>
      </w:r>
      <w:r>
        <w:t xml:space="preserve">HNF4A, VEGFA, and ANGPTL4 (Methods §5.2).</w:t>
      </w:r>
    </w:p>
    <w:p>
      <w:r>
        <w:pict>
          <v:rect style="width:0;height:1.5pt" o:hralign="center" o:hrstd="t" o:hr="t"/>
        </w:pict>
      </w:r>
    </w:p>
    <w:bookmarkEnd w:id="57"/>
    <w:bookmarkStart w:id="58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We thank the curators and developers of the GWAS Catalog (NHGRI–EBI), USDA</w:t>
      </w:r>
      <w:r>
        <w:t xml:space="preserve"> </w:t>
      </w:r>
      <w:r>
        <w:t xml:space="preserve">FoodData Central, gutMGene v2.0, the Biolink Model, and the BioCypher</w:t>
      </w:r>
      <w:r>
        <w:t xml:space="preserve"> </w:t>
      </w:r>
      <w:r>
        <w:t xml:space="preserve">framework.</w:t>
      </w:r>
    </w:p>
    <w:bookmarkEnd w:id="58"/>
    <w:bookmarkStart w:id="59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Cs/>
          <w:b/>
        </w:rPr>
        <w:t xml:space="preserve">S.T.</w:t>
      </w:r>
      <w:r>
        <w:t xml:space="preserve">: conceptualisation, data curation, software, formal analysis,</w:t>
      </w:r>
      <w:r>
        <w:t xml:space="preserve"> </w:t>
      </w:r>
      <w:r>
        <w:t xml:space="preserve">visualisation, writing — original draft, writing — review and editing.</w:t>
      </w:r>
      <w:r>
        <w:t xml:space="preserve"> </w:t>
      </w:r>
      <w:r>
        <w:rPr>
          <w:bCs/>
          <w:b/>
        </w:rPr>
        <w:t xml:space="preserve">V.B.</w:t>
      </w:r>
      <w:r>
        <w:t xml:space="preserve">: supervision, conceptualisation, writing — review and editing.</w:t>
      </w:r>
    </w:p>
    <w:bookmarkEnd w:id="59"/>
    <w:bookmarkStart w:id="60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author(s) declare no competing interests.</w:t>
      </w:r>
    </w:p>
    <w:bookmarkEnd w:id="60"/>
    <w:bookmarkStart w:id="6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data, code, and pre-built knowledge-graph artefacts are publicly</w:t>
      </w:r>
      <w:r>
        <w:t xml:space="preserve"> </w:t>
      </w:r>
      <w:r>
        <w:t xml:space="preserve">available under CC-BY-4.0; see §4 Data Records and §8 Code Availability for</w:t>
      </w:r>
      <w:r>
        <w:t xml:space="preserve"> </w:t>
      </w:r>
      <w:r>
        <w:t xml:space="preserve">URLs and DOIs.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Sollis E, et al. The NHGRI-EBI GWAS Catalog: knowledge base and deposition resource.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2023;51(D1):D977–D985. doi:10.1093/nar/gkac1010</w:t>
      </w:r>
    </w:p>
    <w:p>
      <w:pPr>
        <w:numPr>
          <w:ilvl w:val="0"/>
          <w:numId w:val="1001"/>
        </w:numPr>
        <w:pStyle w:val="Compact"/>
      </w:pPr>
      <w:r>
        <w:t xml:space="preserve">McKillop KT, Fukagawa NK. USDA FoodData Central: methodology and data quality.</w:t>
      </w:r>
      <w:r>
        <w:t xml:space="preserve"> </w:t>
      </w:r>
      <w:r>
        <w:rPr>
          <w:iCs/>
          <w:i/>
        </w:rPr>
        <w:t xml:space="preserve">J Food Compos Anal</w:t>
      </w:r>
      <w:r>
        <w:t xml:space="preserve">. 2019. doi:10.1016/j.jfca.2019.103289</w:t>
      </w:r>
    </w:p>
    <w:p>
      <w:pPr>
        <w:numPr>
          <w:ilvl w:val="0"/>
          <w:numId w:val="1001"/>
        </w:numPr>
        <w:pStyle w:val="Compact"/>
      </w:pPr>
      <w:r>
        <w:t xml:space="preserve">Qi C, et al. gutMGene v2.0: an updated comprehensive database for target genes of gut microbes and microbial metabolites.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2025;53(D1):D783–D788. doi:10.1093/nar/gkae1002</w:t>
      </w:r>
    </w:p>
    <w:p>
      <w:pPr>
        <w:numPr>
          <w:ilvl w:val="0"/>
          <w:numId w:val="1001"/>
        </w:numPr>
        <w:pStyle w:val="Compact"/>
      </w:pPr>
      <w:r>
        <w:t xml:space="preserve">Chandak P, Huang K, Zitnik M. Building a knowledge graph to enable precision medicine.</w:t>
      </w:r>
      <w:r>
        <w:t xml:space="preserve"> </w:t>
      </w:r>
      <w:r>
        <w:rPr>
          <w:iCs/>
          <w:i/>
        </w:rPr>
        <w:t xml:space="preserve">Sci Data</w:t>
      </w:r>
      <w:r>
        <w:t xml:space="preserve">. 2023;10:67. doi:10.1038/s41597-023-01960-3</w:t>
      </w:r>
    </w:p>
    <w:p>
      <w:pPr>
        <w:numPr>
          <w:ilvl w:val="0"/>
          <w:numId w:val="1001"/>
        </w:numPr>
        <w:pStyle w:val="Compact"/>
      </w:pPr>
      <w:r>
        <w:t xml:space="preserve">Putman T, et al. The Monarch Initiative in 2024: an analytic platform integrating phenotypes, genes and diseases across species.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2024;52(D1):D938–D949. doi:10.1093/nar/gkad1004</w:t>
      </w:r>
    </w:p>
    <w:p>
      <w:pPr>
        <w:numPr>
          <w:ilvl w:val="0"/>
          <w:numId w:val="1001"/>
        </w:numPr>
        <w:pStyle w:val="Compact"/>
      </w:pPr>
      <w:r>
        <w:t xml:space="preserve">Unni DR, et al. Biolink Model: A universal schema for knowledge graphs in clinical, biomedical, and translational science.</w:t>
      </w:r>
      <w:r>
        <w:t xml:space="preserve"> </w:t>
      </w:r>
      <w:r>
        <w:rPr>
          <w:iCs/>
          <w:i/>
        </w:rPr>
        <w:t xml:space="preserve">Clin Transl Sci</w:t>
      </w:r>
      <w:r>
        <w:t xml:space="preserve">. 2022;15(8):1848–1855. doi:10.1111/cts.13302</w:t>
      </w:r>
    </w:p>
    <w:p>
      <w:pPr>
        <w:numPr>
          <w:ilvl w:val="0"/>
          <w:numId w:val="1001"/>
        </w:numPr>
        <w:pStyle w:val="Compact"/>
      </w:pPr>
      <w:r>
        <w:t xml:space="preserve">Lobentanzer S, et al. Democratizing knowledge representation with BioCypher.</w:t>
      </w:r>
      <w:r>
        <w:t xml:space="preserve"> </w:t>
      </w:r>
      <w:r>
        <w:rPr>
          <w:iCs/>
          <w:i/>
        </w:rPr>
        <w:t xml:space="preserve">Nat Biotechnol</w:t>
      </w:r>
      <w:r>
        <w:t xml:space="preserve">. 2023;41:1056–1059. doi:10.1038/s41587-023-01848-y</w:t>
      </w:r>
    </w:p>
    <w:p>
      <w:pPr>
        <w:numPr>
          <w:ilvl w:val="0"/>
          <w:numId w:val="1001"/>
        </w:numPr>
        <w:pStyle w:val="Compact"/>
      </w:pPr>
      <w:r>
        <w:t xml:space="preserve">Vasilevsky NA, et al. Mondo: Unifying diseases for the world, by the world.</w:t>
      </w:r>
      <w:r>
        <w:t xml:space="preserve"> </w:t>
      </w:r>
      <w:r>
        <w:rPr>
          <w:iCs/>
          <w:i/>
        </w:rPr>
        <w:t xml:space="preserve">medRxiv</w:t>
      </w:r>
      <w:r>
        <w:t xml:space="preserve">. 2022. doi:10.1101/2022.04.13.22273750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2026-05-02T19:52:05Z</dcterms:created>
  <dcterms:modified xsi:type="dcterms:W3CDTF">2026-05-02T19:52:05Z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