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8eed2e70dda1cd66a4e074fdbd117ce3a4f8aec"/>
    <w:p>
      <w:pPr>
        <w:pStyle w:val="Heading1"/>
      </w:pPr>
      <w:r>
        <w:t xml:space="preserve">NuGeMi-KG: A FAIR tri-layer knowledge graph integrating nutrigenetics, gut microbiome, and food chemistry for cardiometabolic precision nutrition</w:t>
      </w:r>
    </w:p>
    <w:p>
      <w:pPr>
        <w:pStyle w:val="FirstParagraph"/>
      </w:pPr>
      <w:r>
        <w:rPr>
          <w:bCs/>
          <w:b/>
        </w:rPr>
        <w:t xml:space="preserve">Sharath Thoniyot</w:t>
      </w:r>
      <w:r>
        <w:t xml:space="preserve">¹,</w:t>
      </w:r>
      <w:r>
        <w:t xml:space="preserve"> </w:t>
      </w:r>
      <w:r>
        <w:rPr>
          <w:bCs/>
          <w:b/>
        </w:rPr>
        <w:t xml:space="preserve">Vijayakumar Balakrishnan</w:t>
      </w:r>
      <w:r>
        <w:t xml:space="preserve">¹</w:t>
      </w:r>
    </w:p>
    <w:p>
      <w:pPr>
        <w:pStyle w:val="BodyText"/>
      </w:pPr>
      <w:r>
        <w:t xml:space="preserve">¹ Department of Computer Science, Birla Institute of Technology and Science Pilani, Dubai Campus, United Arab Emirates</w:t>
      </w:r>
    </w:p>
    <w:p>
      <w:pPr>
        <w:pStyle w:val="BodyText"/>
      </w:pPr>
      <w:r>
        <w:rPr>
          <w:bCs/>
          <w:b/>
        </w:rPr>
        <w:t xml:space="preserve">Corresponding author:</w:t>
      </w:r>
      <w:r>
        <w:t xml:space="preserve"> </w:t>
      </w:r>
      <w:r>
        <w:t xml:space="preserve">Sharath Thoniyot (p20230010@dubai.bits-pilani.ac.in)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Cs/>
          <w:b/>
        </w:rPr>
        <w:t xml:space="preserve">Background.</w:t>
      </w:r>
      <w:r>
        <w:t xml:space="preserve"> </w:t>
      </w:r>
      <w:r>
        <w:t xml:space="preserve">Cardiometabolic diseases arise from the interplay of genetic susceptibility, gut microbiome activity, and dietary intake. Existing biomedical knowledge graphs cover these layers in isolation.</w:t>
      </w:r>
    </w:p>
    <w:p>
      <w:pPr>
        <w:pStyle w:val="BodyText"/>
      </w:pPr>
      <w:r>
        <w:rPr>
          <w:bCs/>
          <w:b/>
        </w:rPr>
        <w:t xml:space="preserve">Methods.</w:t>
      </w:r>
      <w:r>
        <w:t xml:space="preserve"> </w:t>
      </w:r>
      <w:r>
        <w:t xml:space="preserve">We constructed</w:t>
      </w:r>
      <w:r>
        <w:t xml:space="preserve"> </w:t>
      </w:r>
      <w:r>
        <w:rPr>
          <w:iCs/>
          <w:i/>
        </w:rPr>
        <w:t xml:space="preserve">NuGeMi-KG</w:t>
      </w:r>
      <w:r>
        <w:t xml:space="preserve">, a tri-layer knowledge graph integrating cardiometabolic GWAS associations (GWAS Catalog), microbe–metabolite and microbe–host gene relationships (gutMGene v2.0), and food-composition data (USDA FoodData Central). The KG is implemented in BioCypher, aligned to the Biolink Model, and deployed in Neo4j.</w:t>
      </w:r>
    </w:p>
    <w:p>
      <w:pPr>
        <w:pStyle w:val="BodyText"/>
      </w:pPr>
      <w:r>
        <w:rPr>
          <w:bCs/>
          <w:b/>
        </w:rPr>
        <w:t xml:space="preserve">Results.</w:t>
      </w:r>
      <w:r>
        <w:t xml:space="preserve"> </w:t>
      </w:r>
      <w:r>
        <w:t xml:space="preserve">NuGeMi-KG contains 55,263 nodes and 85,308 edges across 8 node types and 9 edge types. We define 15 competency questions, of which 14 return biologically meaningful results. The KG supports five-hop cross-layer queries that surface novel nutrigenetic hypotheses (e.g. </w:t>
      </w:r>
      <w:r>
        <w:rPr>
          <w:iCs/>
          <w:i/>
        </w:rPr>
        <w:t xml:space="preserve">Streptococcus salivarius</w:t>
      </w:r>
      <w:r>
        <w:t xml:space="preserve"> </w:t>
      </w:r>
      <w:r>
        <w:t xml:space="preserve">→ PPARG → 45 cardiometabolic SNPs).</w:t>
      </w:r>
    </w:p>
    <w:p>
      <w:pPr>
        <w:pStyle w:val="BodyText"/>
      </w:pPr>
      <w:r>
        <w:rPr>
          <w:bCs/>
          <w:b/>
        </w:rPr>
        <w:t xml:space="preserve">Conclusion.</w:t>
      </w:r>
      <w:r>
        <w:t xml:space="preserve"> </w:t>
      </w:r>
      <w:r>
        <w:t xml:space="preserve">NuGeMi-KG is the first public KG that integrates all three layers under a single ontology-aligned schema and is openly queryable for hypothesis generation in precision nutrition.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knowledge graph, cardiometabolic disease, nutrigenetics, gut microbiome, precision nutrition, Biolink, BioCypher, FAIR</w:t>
      </w:r>
    </w:p>
    <w:p>
      <w:r>
        <w:pict>
          <v:rect style="width:0;height:1.5pt" o:hralign="center" o:hrstd="t" o:hr="t"/>
        </w:pict>
      </w:r>
    </w:p>
    <w:bookmarkEnd w:id="20"/>
    <w:bookmarkStart w:id="21" w:name="background-summary"/>
    <w:p>
      <w:pPr>
        <w:pStyle w:val="Heading2"/>
      </w:pPr>
      <w:r>
        <w:t xml:space="preserve">1 Background &amp; Summary</w:t>
      </w:r>
    </w:p>
    <w:p>
      <w:pPr>
        <w:pStyle w:val="FirstParagraph"/>
      </w:pPr>
      <w:r>
        <w:t xml:space="preserve">Cardiometabolic diseases — encompassing type 2 diabetes mellitus, obesity, dyslipidemias,</w:t>
      </w:r>
      <w:r>
        <w:t xml:space="preserve"> </w:t>
      </w:r>
      <w:r>
        <w:t xml:space="preserve">hypertension, and atherosclerotic cardiovascular disease — collectively account for the</w:t>
      </w:r>
      <w:r>
        <w:t xml:space="preserve"> </w:t>
      </w:r>
      <w:r>
        <w:t xml:space="preserve">single largest preventable contributor to global morbidity and mortality. Their etiology is</w:t>
      </w:r>
      <w:r>
        <w:t xml:space="preserve"> </w:t>
      </w:r>
      <w:r>
        <w:t xml:space="preserve">classically multifactorial: heritable susceptibility identified through genome-wide</w:t>
      </w:r>
      <w:r>
        <w:t xml:space="preserve"> </w:t>
      </w:r>
      <w:r>
        <w:t xml:space="preserve">association studies, environmental exposure to specific dietary patterns and food bioactives,</w:t>
      </w:r>
      <w:r>
        <w:t xml:space="preserve"> </w:t>
      </w:r>
      <w:r>
        <w:t xml:space="preserve">and an emerging modulating role of the gut microbiome. Effective precision-nutrition</w:t>
      </w:r>
      <w:r>
        <w:t xml:space="preserve"> </w:t>
      </w:r>
      <w:r>
        <w:t xml:space="preserve">interventions therefore require reasoning across three biological dimensions</w:t>
      </w:r>
      <w:r>
        <w:t xml:space="preserve"> </w:t>
      </w:r>
      <w:r>
        <w:t xml:space="preserve">simultaneously — host genetic susceptibility, the chemical composition of consumed food,</w:t>
      </w:r>
      <w:r>
        <w:t xml:space="preserve"> </w:t>
      </w:r>
      <w:r>
        <w:t xml:space="preserve">and gut microbial activity — rather than within any one dimension in isolation.</w:t>
      </w:r>
    </w:p>
    <w:p>
      <w:pPr>
        <w:pStyle w:val="BodyText"/>
      </w:pPr>
      <w:r>
        <w:t xml:space="preserve">Each of these dimensions has been characterised at scale through dedicated public</w:t>
      </w:r>
      <w:r>
        <w:t xml:space="preserve"> </w:t>
      </w:r>
      <w:r>
        <w:t xml:space="preserve">resources. The NHGRI–EBI GWAS Catalog (1) curates more than one million SNP–trait</w:t>
      </w:r>
      <w:r>
        <w:t xml:space="preserve"> </w:t>
      </w:r>
      <w:r>
        <w:t xml:space="preserve">associations from over 7,000 publications, capturing the genetics layer. The USDA</w:t>
      </w:r>
      <w:r>
        <w:t xml:space="preserve"> </w:t>
      </w:r>
      <w:r>
        <w:t xml:space="preserve">FoodData Central programme (2) provides analytical-laboratory-grade composition profiles</w:t>
      </w:r>
      <w:r>
        <w:t xml:space="preserve"> </w:t>
      </w:r>
      <w:r>
        <w:t xml:space="preserve">for hundreds of foods across more than 600 nutrients. The gutMGene v2.0 database (3)</w:t>
      </w:r>
      <w:r>
        <w:t xml:space="preserve"> </w:t>
      </w:r>
      <w:r>
        <w:t xml:space="preserve">curates causal and correlational relationships between gut microbes, their metabolites, and</w:t>
      </w:r>
      <w:r>
        <w:t xml:space="preserve"> </w:t>
      </w:r>
      <w:r>
        <w:t xml:space="preserve">host genes, distinguished by experimental evidence type. Together, these three resources</w:t>
      </w:r>
      <w:r>
        <w:t xml:space="preserve"> </w:t>
      </w:r>
      <w:r>
        <w:t xml:space="preserve">constitute a near-complete reference base for nutrigenetic and microbiome-informed</w:t>
      </w:r>
      <w:r>
        <w:t xml:space="preserve"> </w:t>
      </w:r>
      <w:r>
        <w:t xml:space="preserve">research; however, they do not interoperate without significant integration effort, and</w:t>
      </w:r>
      <w:r>
        <w:t xml:space="preserve"> </w:t>
      </w:r>
      <w:r>
        <w:t xml:space="preserve">disease-relevant cross-layer queries — for instance,</w:t>
      </w:r>
      <w:r>
        <w:t xml:space="preserve"> </w:t>
      </w:r>
      <w:r>
        <w:t xml:space="preserve">“</w:t>
      </w:r>
      <w:r>
        <w:t xml:space="preserve">which foods carry nutrients that gut</w:t>
      </w:r>
      <w:r>
        <w:t xml:space="preserve"> </w:t>
      </w:r>
      <w:r>
        <w:t xml:space="preserve">microbes convert into metabolites which modulate genes carrying T2D-associated GWAS</w:t>
      </w:r>
      <w:r>
        <w:t xml:space="preserve"> </w:t>
      </w:r>
      <w:r>
        <w:t xml:space="preserve">variants</w:t>
      </w:r>
      <w:r>
        <w:t xml:space="preserve">”</w:t>
      </w:r>
      <w:r>
        <w:t xml:space="preserve"> </w:t>
      </w:r>
      <w:r>
        <w:t xml:space="preserve">— cannot be expressed in any single resource.</w:t>
      </w:r>
    </w:p>
    <w:p>
      <w:pPr>
        <w:pStyle w:val="BodyText"/>
      </w:pPr>
      <w:r>
        <w:t xml:space="preserve">Several biomedical knowledge graphs (KGs) have aggregated subsets of this information.</w:t>
      </w:r>
      <w:r>
        <w:t xml:space="preserve"> </w:t>
      </w:r>
      <w:r>
        <w:t xml:space="preserve">PrimeKG (4) integrates twenty primary biomedical resources to describe 17,080 diseases</w:t>
      </w:r>
      <w:r>
        <w:t xml:space="preserve"> </w:t>
      </w:r>
      <w:r>
        <w:t xml:space="preserve">across ten biological scales but does not include food composition or microbiome data. The</w:t>
      </w:r>
      <w:r>
        <w:t xml:space="preserve"> </w:t>
      </w:r>
      <w:r>
        <w:t xml:space="preserve">Monarch Initiative knowledge graph (5) provides extensive disease–gene–phenotype</w:t>
      </w:r>
      <w:r>
        <w:t xml:space="preserve"> </w:t>
      </w:r>
      <w:r>
        <w:t xml:space="preserve">integration across species but lacks both nutritional and microbial layers. Microbe-focused</w:t>
      </w:r>
      <w:r>
        <w:t xml:space="preserve"> </w:t>
      </w:r>
      <w:r>
        <w:t xml:space="preserve">KGs such as KGMicrobe represent microbe–disease associations without GWAS-level</w:t>
      </w:r>
      <w:r>
        <w:t xml:space="preserve"> </w:t>
      </w:r>
      <w:r>
        <w:t xml:space="preserve">genetic evidence. Food-chemistry resources such as FooDB and the recent VMH catalog</w:t>
      </w:r>
      <w:r>
        <w:t xml:space="preserve"> </w:t>
      </w:r>
      <w:r>
        <w:t xml:space="preserve">the chemistry of consumed foods but do not link them to host genetic variation. To our</w:t>
      </w:r>
      <w:r>
        <w:t xml:space="preserve"> </w:t>
      </w:r>
      <w:r>
        <w:t xml:space="preserve">knowledge, no single public knowledge graph integrates host nutrigenetics, gut microbial</w:t>
      </w:r>
      <w:r>
        <w:t xml:space="preserve"> </w:t>
      </w:r>
      <w:r>
        <w:t xml:space="preserve">function, and food composition under a unified ontology-aligned schema; consequently,</w:t>
      </w:r>
      <w:r>
        <w:t xml:space="preserve"> </w:t>
      </w:r>
      <w:r>
        <w:t xml:space="preserve">the integrative cross-layer reasoning patterns required for precision-nutrition hypothesis</w:t>
      </w:r>
      <w:r>
        <w:t xml:space="preserve"> </w:t>
      </w:r>
      <w:r>
        <w:t xml:space="preserve">generation are not currently expressible as direct queries against any single resource.</w:t>
      </w:r>
    </w:p>
    <w:p>
      <w:pPr>
        <w:pStyle w:val="BodyText"/>
      </w:pPr>
      <w:r>
        <w:t xml:space="preserve">We address this gap with</w:t>
      </w:r>
      <w:r>
        <w:t xml:space="preserve"> </w:t>
      </w:r>
      <w:r>
        <w:rPr>
          <w:bCs/>
          <w:b/>
        </w:rPr>
        <w:t xml:space="preserve">NuGeMi-KG</w:t>
      </w:r>
      <w:r>
        <w:t xml:space="preserve">, a tri-layer cardiometabolic knowledge graph that</w:t>
      </w:r>
      <w:r>
        <w:t xml:space="preserve"> </w:t>
      </w:r>
      <w:r>
        <w:t xml:space="preserve">brings nutrigenetics, gut microbiome, and food composition into a single Biolink-aligned</w:t>
      </w:r>
      <w:r>
        <w:t xml:space="preserve"> </w:t>
      </w:r>
      <w:r>
        <w:t xml:space="preserve">schema (6) and is implemented as a fully reproducible BioCypher pipeline (7). The</w:t>
      </w:r>
      <w:r>
        <w:t xml:space="preserve"> </w:t>
      </w:r>
      <w:r>
        <w:t xml:space="preserve">released resource contains 55,263 nodes and 85,308 edges across eight node types and</w:t>
      </w:r>
      <w:r>
        <w:t xml:space="preserve"> </w:t>
      </w:r>
      <w:r>
        <w:t xml:space="preserve">nine edge types, anchored on eleven cardiometabolic phenotypes harmonised to MONDO</w:t>
      </w:r>
      <w:r>
        <w:t xml:space="preserve"> </w:t>
      </w:r>
      <w:r>
        <w:t xml:space="preserve">disease classes (8). We define fifteen competency questions to validate the schema and</w:t>
      </w:r>
      <w:r>
        <w:t xml:space="preserve"> </w:t>
      </w:r>
      <w:r>
        <w:t xml:space="preserve">demonstrate that the KG supports the intended cross-layer query patterns; in particular,</w:t>
      </w:r>
      <w:r>
        <w:t xml:space="preserve"> </w:t>
      </w:r>
      <w:r>
        <w:t xml:space="preserve">five tri-layer questions return non-trivial five-hop paths integrating food, microbiome,</w:t>
      </w:r>
      <w:r>
        <w:t xml:space="preserve"> </w:t>
      </w:r>
      <w:r>
        <w:t xml:space="preserve">and genetics evidence. As one example, querying for microbes that modulate host genes</w:t>
      </w:r>
      <w:r>
        <w:t xml:space="preserve"> </w:t>
      </w:r>
      <w:r>
        <w:t xml:space="preserve">carrying cardiometabolic GWAS variants surfaces</w:t>
      </w:r>
      <w:r>
        <w:t xml:space="preserve"> </w:t>
      </w:r>
      <w:r>
        <w:rPr>
          <w:iCs/>
          <w:i/>
        </w:rPr>
        <w:t xml:space="preserve">Streptococcus salivarius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Enterococcus faecalis</w:t>
      </w:r>
      <w:r>
        <w:t xml:space="preserve"> </w:t>
      </w:r>
      <w:r>
        <w:t xml:space="preserve">as joint modulators of PPARG, a gene with 45 distinct</w:t>
      </w:r>
      <w:r>
        <w:t xml:space="preserve"> </w:t>
      </w:r>
      <w:r>
        <w:t xml:space="preserve">cardiometabolic GWAS variants spanning seven phenotypes (Figure 3) — a tri-layer</w:t>
      </w:r>
      <w:r>
        <w:t xml:space="preserve"> </w:t>
      </w:r>
      <w:r>
        <w:t xml:space="preserve">hypothesis pattern that, to our knowledge, no existing public KG has previously made</w:t>
      </w:r>
      <w:r>
        <w:t xml:space="preserve"> </w:t>
      </w:r>
      <w:r>
        <w:t xml:space="preserve">queryable. The remainder of this paper describes the data sources and integration</w:t>
      </w:r>
      <w:r>
        <w:t xml:space="preserve"> </w:t>
      </w:r>
      <w:r>
        <w:t xml:space="preserve">methodology (§2), the released artifacts (§3), data quality assessment and competency</w:t>
      </w:r>
      <w:r>
        <w:t xml:space="preserve"> </w:t>
      </w:r>
      <w:r>
        <w:t xml:space="preserve">evaluation (§4), and example use-cases (§5).</w:t>
      </w:r>
    </w:p>
    <w:bookmarkEnd w:id="21"/>
    <w:bookmarkStart w:id="31" w:name="methods"/>
    <w:p>
      <w:pPr>
        <w:pStyle w:val="Heading2"/>
      </w:pPr>
      <w:r>
        <w:t xml:space="preserve">2 Methods</w:t>
      </w:r>
    </w:p>
    <w:bookmarkStart w:id="22" w:name="data-sources"/>
    <w:p>
      <w:pPr>
        <w:pStyle w:val="Heading3"/>
      </w:pPr>
      <w:r>
        <w:t xml:space="preserve">2.1 Data sources</w:t>
      </w:r>
    </w:p>
    <w:p>
      <w:pPr>
        <w:pStyle w:val="FirstParagraph"/>
      </w:pPr>
      <w:r>
        <w:t xml:space="preserve">NuGeMi-KG integrates three primary public resources, each contributing</w:t>
      </w:r>
      <w:r>
        <w:t xml:space="preserve"> </w:t>
      </w:r>
      <w:r>
        <w:t xml:space="preserve">one biological layer (Table 1).</w:t>
      </w:r>
    </w:p>
    <w:p>
      <w:pPr>
        <w:pStyle w:val="BodyText"/>
      </w:pPr>
      <w:r>
        <w:rPr>
          <w:bCs/>
          <w:b/>
        </w:rPr>
        <w:t xml:space="preserve">Genetics layer (GWAS Catalog).</w:t>
      </w:r>
      <w:r>
        <w:t xml:space="preserve"> </w:t>
      </w:r>
      <w:r>
        <w:t xml:space="preserve">We used the NHGRI–EBI GWAS Catalog</w:t>
      </w:r>
      <w:r>
        <w:t xml:space="preserve"> </w:t>
      </w:r>
      <w:r>
        <w:t xml:space="preserve">release of 21 April 2026 (the</w:t>
      </w:r>
      <w:r>
        <w:t xml:space="preserve"> </w:t>
      </w:r>
      <w:r>
        <w:t xml:space="preserve">“</w:t>
      </w:r>
      <w:r>
        <w:t xml:space="preserve">all associations with added ontology</w:t>
      </w:r>
      <w:r>
        <w:t xml:space="preserve"> </w:t>
      </w:r>
      <w:r>
        <w:t xml:space="preserve">annotations</w:t>
      </w:r>
      <w:r>
        <w:t xml:space="preserve">”</w:t>
      </w:r>
      <w:r>
        <w:t xml:space="preserve"> </w:t>
      </w:r>
      <w:r>
        <w:t xml:space="preserve">TSV bulk download). The full release contains approximately</w:t>
      </w:r>
      <w:r>
        <w:t xml:space="preserve"> </w:t>
      </w:r>
      <w:r>
        <w:t xml:space="preserve">1.1 million SNP–trait association records from over 7,000 publications. We</w:t>
      </w:r>
      <w:r>
        <w:t xml:space="preserve"> </w:t>
      </w:r>
      <w:r>
        <w:t xml:space="preserve">filtered to cardiometabolic traits using a curated keyword list of twenty-four</w:t>
      </w:r>
      <w:r>
        <w:t xml:space="preserve"> </w:t>
      </w:r>
      <w:r>
        <w:t xml:space="preserve">substring patterns (e.g. </w:t>
      </w:r>
      <w:r>
        <w:rPr>
          <w:iCs/>
          <w:i/>
        </w:rPr>
        <w:t xml:space="preserve">type 2 diabetes</w:t>
      </w:r>
      <w:r>
        <w:t xml:space="preserve">,</w:t>
      </w:r>
      <w:r>
        <w:t xml:space="preserve"> </w:t>
      </w:r>
      <w:r>
        <w:rPr>
          <w:iCs/>
          <w:i/>
        </w:rPr>
        <w:t xml:space="preserve">body mass index</w:t>
      </w:r>
      <w:r>
        <w:t xml:space="preserve">,</w:t>
      </w:r>
      <w:r>
        <w:t xml:space="preserve"> </w:t>
      </w:r>
      <w:r>
        <w:rPr>
          <w:iCs/>
          <w:i/>
        </w:rPr>
        <w:t xml:space="preserve">LDL</w:t>
      </w:r>
      <w:r>
        <w:rPr>
          <w:iCs/>
          <w:i/>
        </w:rPr>
        <w:t xml:space="preserve"> </w:t>
      </w:r>
      <w:r>
        <w:rPr>
          <w:iCs/>
          <w:i/>
        </w:rPr>
        <w:t xml:space="preserve">cholesterol</w:t>
      </w:r>
      <w:r>
        <w:t xml:space="preserve">,</w:t>
      </w:r>
      <w:r>
        <w:t xml:space="preserve"> </w:t>
      </w:r>
      <w:r>
        <w:rPr>
          <w:iCs/>
          <w:i/>
        </w:rPr>
        <w:t xml:space="preserve">coronary artery disease</w:t>
      </w:r>
      <w:r>
        <w:t xml:space="preserve">,</w:t>
      </w:r>
      <w:r>
        <w:t xml:space="preserve"> </w:t>
      </w:r>
      <w:r>
        <w:rPr>
          <w:iCs/>
          <w:i/>
        </w:rPr>
        <w:t xml:space="preserve">blood pressure</w:t>
      </w:r>
      <w:r>
        <w:t xml:space="preserve">) and mapped each</w:t>
      </w:r>
      <w:r>
        <w:t xml:space="preserve"> </w:t>
      </w:r>
      <w:r>
        <w:t xml:space="preserve">matched trait to one of eleven canonical MONDO disease classes (Table 1</w:t>
      </w:r>
      <w:r>
        <w:t xml:space="preserve"> </w:t>
      </w:r>
      <w:r>
        <w:t xml:space="preserve">in DATA_SOURCES.md). Associations were retained only if the reported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value was at or below the conventional genome-wide significance</w:t>
      </w:r>
      <w:r>
        <w:t xml:space="preserve"> </w:t>
      </w:r>
      <w:r>
        <w:t xml:space="preserve">threshold (5 × 10⁻⁸); records lacking an</w:t>
      </w:r>
      <w:r>
        <w:t xml:space="preserve"> </w:t>
      </w:r>
      <w:r>
        <w:rPr>
          <w:rStyle w:val="VerbatimChar"/>
        </w:rPr>
        <w:t xml:space="preserve">rs</w:t>
      </w:r>
      <w:r>
        <w:t xml:space="preserve">-formatted SNP identifier or</w:t>
      </w:r>
      <w:r>
        <w:t xml:space="preserve"> </w:t>
      </w:r>
      <w:r>
        <w:t xml:space="preserve">listing multiple comma- or semicolon-separated SNPs in a single row were</w:t>
      </w:r>
      <w:r>
        <w:t xml:space="preserve"> </w:t>
      </w:r>
      <w:r>
        <w:t xml:space="preserve">excluded. After filtering, the genetics layer contributes 47,718 SNPs,</w:t>
      </w:r>
      <w:r>
        <w:t xml:space="preserve"> </w:t>
      </w:r>
      <w:r>
        <w:t xml:space="preserve">6,398 genes, 11 phenotypes, 16,997 SnpToGene edges, and 54,223</w:t>
      </w:r>
      <w:r>
        <w:t xml:space="preserve"> </w:t>
      </w:r>
      <w:r>
        <w:t xml:space="preserve">SnpToPhenotype edges.</w:t>
      </w:r>
    </w:p>
    <w:p>
      <w:pPr>
        <w:pStyle w:val="BodyText"/>
      </w:pPr>
      <w:r>
        <w:rPr>
          <w:bCs/>
          <w:b/>
        </w:rPr>
        <w:t xml:space="preserve">Microbiome layer (gutMGene v2.0).</w:t>
      </w:r>
      <w:r>
        <w:t xml:space="preserve"> </w:t>
      </w:r>
      <w:r>
        <w:t xml:space="preserve">We used gutMGene v2.0 (Qi et al.</w:t>
      </w:r>
      <w:r>
        <w:t xml:space="preserve"> </w:t>
      </w:r>
      <w:r>
        <w:t xml:space="preserve">2025), which curates causal and correlational relationships among gut</w:t>
      </w:r>
      <w:r>
        <w:t xml:space="preserve"> </w:t>
      </w:r>
      <w:r>
        <w:t xml:space="preserve">microbes, microbial metabolites, and host genes, with one PubMed citation</w:t>
      </w:r>
      <w:r>
        <w:t xml:space="preserve"> </w:t>
      </w:r>
      <w:r>
        <w:t xml:space="preserve">per row. We loaded the two literature-based association tables —</w:t>
      </w:r>
      <w:r>
        <w:t xml:space="preserve"> </w:t>
      </w:r>
      <w:r>
        <w:rPr>
          <w:iCs/>
          <w:i/>
        </w:rPr>
        <w:t xml:space="preserve">Gut_Microbe-Microbial_Metabolite.csv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Gut_Microbe-Host-Gene.csv</w:t>
      </w:r>
      <w:r>
        <w:t xml:space="preserve"> </w:t>
      </w:r>
      <w:r>
        <w:t xml:space="preserve">—</w:t>
      </w:r>
      <w:r>
        <w:t xml:space="preserve"> </w:t>
      </w:r>
      <w:r>
        <w:t xml:space="preserve">and applied two filters: human host only, and</w:t>
      </w:r>
      <w:r>
        <w:t xml:space="preserve"> </w:t>
      </w:r>
      <w:r>
        <w:t xml:space="preserve">“</w:t>
      </w:r>
      <w:r>
        <w:t xml:space="preserve">causal</w:t>
      </w:r>
      <w:r>
        <w:t xml:space="preserve">”</w:t>
      </w:r>
      <w:r>
        <w:t xml:space="preserve"> </w:t>
      </w:r>
      <w:r>
        <w:t xml:space="preserve">associations only</w:t>
      </w:r>
      <w:r>
        <w:t xml:space="preserve"> </w:t>
      </w:r>
      <w:r>
        <w:t xml:space="preserve">(retaining the highest evidence tier and excluding weaker</w:t>
      </w:r>
      <w:r>
        <w:t xml:space="preserve"> </w:t>
      </w:r>
      <w:r>
        <w:t xml:space="preserve">correlational entries). Disease-of-interest annotations (DOID column)</w:t>
      </w:r>
      <w:r>
        <w:t xml:space="preserve"> </w:t>
      </w:r>
      <w:r>
        <w:t xml:space="preserve">were mapped to MONDO using a hand-curated 14-entry crosswalk. After</w:t>
      </w:r>
      <w:r>
        <w:t xml:space="preserve"> </w:t>
      </w:r>
      <w:r>
        <w:t xml:space="preserve">filtering, the microbiome layer contributes 192 microbes, 378</w:t>
      </w:r>
      <w:r>
        <w:t xml:space="preserve"> </w:t>
      </w:r>
      <w:r>
        <w:t xml:space="preserve">MicrobeToNutrient edges, 182 MicrobeToGene edges, and 5</w:t>
      </w:r>
      <w:r>
        <w:t xml:space="preserve"> </w:t>
      </w:r>
      <w:r>
        <w:t xml:space="preserve">MicrobeToPhenotype edges.</w:t>
      </w:r>
    </w:p>
    <w:p>
      <w:pPr>
        <w:pStyle w:val="BodyText"/>
      </w:pPr>
      <w:r>
        <w:rPr>
          <w:bCs/>
          <w:b/>
        </w:rPr>
        <w:t xml:space="preserve">Food-chemistry layer (USDA FoodData Central).</w:t>
      </w:r>
      <w:r>
        <w:t xml:space="preserve"> </w:t>
      </w:r>
      <w:r>
        <w:t xml:space="preserve">We used the USDA</w:t>
      </w:r>
      <w:r>
        <w:t xml:space="preserve"> </w:t>
      </w:r>
      <w:r>
        <w:t xml:space="preserve">FoodData Central</w:t>
      </w:r>
      <w:r>
        <w:t xml:space="preserve"> </w:t>
      </w:r>
      <w:r>
        <w:t xml:space="preserve">“</w:t>
      </w:r>
      <w:r>
        <w:t xml:space="preserve">Foundation Foods</w:t>
      </w:r>
      <w:r>
        <w:t xml:space="preserve">”</w:t>
      </w:r>
      <w:r>
        <w:t xml:space="preserve"> </w:t>
      </w:r>
      <w:r>
        <w:t xml:space="preserve">subset, release of 18 April 2024.</w:t>
      </w:r>
      <w:r>
        <w:t xml:space="preserve"> </w:t>
      </w:r>
      <w:r>
        <w:t xml:space="preserve">Foundation Foods are USDA’s analytical-laboratory–measured reference</w:t>
      </w:r>
      <w:r>
        <w:t xml:space="preserve"> </w:t>
      </w:r>
      <w:r>
        <w:t xml:space="preserve">profiles, distinct from branded retail items or estimated values. From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food.csv</w:t>
      </w:r>
      <w:r>
        <w:t xml:space="preserve">,</w:t>
      </w:r>
      <w:r>
        <w:t xml:space="preserve"> </w:t>
      </w:r>
      <w:r>
        <w:rPr>
          <w:iCs/>
          <w:i/>
        </w:rPr>
        <w:t xml:space="preserve">nutrient.csv</w:t>
      </w:r>
      <w:r>
        <w:t xml:space="preserve">, and</w:t>
      </w:r>
      <w:r>
        <w:t xml:space="preserve"> </w:t>
      </w:r>
      <w:r>
        <w:rPr>
          <w:iCs/>
          <w:i/>
        </w:rPr>
        <w:t xml:space="preserve">food_nutrient.csv</w:t>
      </w:r>
      <w:r>
        <w:t xml:space="preserve"> </w:t>
      </w:r>
      <w:r>
        <w:t xml:space="preserve">tables we loaded</w:t>
      </w:r>
      <w:r>
        <w:t xml:space="preserve"> </w:t>
      </w:r>
      <w:r>
        <w:t xml:space="preserve">all rows with</w:t>
      </w:r>
      <w:r>
        <w:t xml:space="preserve"> </w:t>
      </w:r>
      <w:r>
        <w:rPr>
          <w:rStyle w:val="VerbatimChar"/>
        </w:rPr>
        <w:t xml:space="preserve">data_type == "foundation_food"</w:t>
      </w:r>
      <w:r>
        <w:t xml:space="preserve">. To enable cross-layer</w:t>
      </w:r>
      <w:r>
        <w:t xml:space="preserve"> </w:t>
      </w:r>
      <w:r>
        <w:t xml:space="preserve">joins between USDA nutrient identifiers (numeric</w:t>
      </w:r>
      <w:r>
        <w:t xml:space="preserve"> </w:t>
      </w:r>
      <w:r>
        <w:rPr>
          <w:rStyle w:val="VerbatimChar"/>
        </w:rPr>
        <w:t xml:space="preserve">nutrient_nbr</w:t>
      </w:r>
      <w:r>
        <w:t xml:space="preserve">) and</w:t>
      </w:r>
      <w:r>
        <w:t xml:space="preserve"> </w:t>
      </w:r>
      <w:r>
        <w:t xml:space="preserve">ChEBI identifiers used elsewhere in the KG, we built a hand-curated</w:t>
      </w:r>
      <w:r>
        <w:t xml:space="preserve"> </w:t>
      </w:r>
      <w:r>
        <w:t xml:space="preserve">mapping for approximately forty nutrients of cardiometabolic interest</w:t>
      </w:r>
      <w:r>
        <w:t xml:space="preserve"> </w:t>
      </w:r>
      <w:r>
        <w:t xml:space="preserve">(macronutrients 203/204/205, fibre 291, minerals 301–317, vitamins</w:t>
      </w:r>
      <w:r>
        <w:t xml:space="preserve"> </w:t>
      </w:r>
      <w:r>
        <w:t xml:space="preserve">318–430, omega-3 species 851/858/875), with the remaining nutrients</w:t>
      </w:r>
      <w:r>
        <w:t xml:space="preserve"> </w:t>
      </w:r>
      <w:r>
        <w:t xml:space="preserve">falling back to a USDA-prefixed pseudo-CHEBI namespace. After filtering,</w:t>
      </w:r>
      <w:r>
        <w:t xml:space="preserve"> </w:t>
      </w:r>
      <w:r>
        <w:t xml:space="preserve">the food-chemistry layer contributes 358 foods, 586 nutrients, and</w:t>
      </w:r>
      <w:r>
        <w:t xml:space="preserve"> </w:t>
      </w:r>
      <w:r>
        <w:t xml:space="preserve">13,523 FoodToNutrient edges.</w:t>
      </w:r>
    </w:p>
    <w:bookmarkEnd w:id="22"/>
    <w:bookmarkStart w:id="27" w:name="schema-design"/>
    <w:p>
      <w:pPr>
        <w:pStyle w:val="Heading3"/>
      </w:pPr>
      <w:r>
        <w:t xml:space="preserve">2.2 Schema design</w:t>
      </w:r>
    </w:p>
    <w:bookmarkStart w:id="23" w:name="why-biolink"/>
    <w:p>
      <w:pPr>
        <w:pStyle w:val="Heading4"/>
      </w:pPr>
      <w:r>
        <w:t xml:space="preserve">2.2.1 Why Biolink</w:t>
      </w:r>
    </w:p>
    <w:p>
      <w:pPr>
        <w:pStyle w:val="FirstParagraph"/>
      </w:pPr>
      <w:r>
        <w:t xml:space="preserve">We aligned the schema to the Biolink Model v3.6.0 (Unni et al. 2022).</w:t>
      </w:r>
      <w:r>
        <w:t xml:space="preserve"> </w:t>
      </w:r>
      <w:r>
        <w:t xml:space="preserve">Biolink is the de facto standard for biomedical knowledge graphs and is</w:t>
      </w:r>
      <w:r>
        <w:t xml:space="preserve"> </w:t>
      </w:r>
      <w:r>
        <w:t xml:space="preserve">adopted by Monarch Initiative, PrimeKG, and the NCATS Biomedical Data</w:t>
      </w:r>
      <w:r>
        <w:t xml:space="preserve"> </w:t>
      </w:r>
      <w:r>
        <w:t xml:space="preserve">Translator programme; alignment provides immediate interoperability with</w:t>
      </w:r>
      <w:r>
        <w:t xml:space="preserve"> </w:t>
      </w:r>
      <w:r>
        <w:t xml:space="preserve">those resources and a stable, versioned classification of node and edge</w:t>
      </w:r>
      <w:r>
        <w:t xml:space="preserve"> </w:t>
      </w:r>
      <w:r>
        <w:t xml:space="preserve">types. We chose Biolink v3.6.0 specifically because it is the version</w:t>
      </w:r>
      <w:r>
        <w:t xml:space="preserve"> </w:t>
      </w:r>
      <w:r>
        <w:t xml:space="preserve">shipped by BioCypher v0.8.0 (the build framework, see §2.4) and avoids</w:t>
      </w:r>
      <w:r>
        <w:t xml:space="preserve"> </w:t>
      </w:r>
      <w:r>
        <w:t xml:space="preserve">unstable integration with the still-evolving Biolink v4.x.</w:t>
      </w:r>
    </w:p>
    <w:bookmarkEnd w:id="23"/>
    <w:bookmarkStart w:id="24" w:name="node-types"/>
    <w:p>
      <w:pPr>
        <w:pStyle w:val="Heading4"/>
      </w:pPr>
      <w:r>
        <w:t xml:space="preserve">2.2.2 Node types</w:t>
      </w:r>
    </w:p>
    <w:p>
      <w:pPr>
        <w:pStyle w:val="FirstParagraph"/>
      </w:pPr>
      <w:r>
        <w:t xml:space="preserve">The schema declares eight node types (Table N), each mapped to a Biolink</w:t>
      </w:r>
      <w:r>
        <w:t xml:space="preserve"> </w:t>
      </w:r>
      <w:r>
        <w:t xml:space="preserve">parent class via the BioCypher</w:t>
      </w:r>
      <w:r>
        <w:t xml:space="preserve"> </w:t>
      </w:r>
      <w:r>
        <w:rPr>
          <w:rStyle w:val="VerbatimChar"/>
        </w:rPr>
        <w:t xml:space="preserve">is_a</w:t>
      </w:r>
      <w:r>
        <w:t xml:space="preserve"> </w:t>
      </w:r>
      <w:r>
        <w:t xml:space="preserve">directive:</w:t>
      </w:r>
      <w:r>
        <w:t xml:space="preserve"> </w:t>
      </w:r>
      <w:r>
        <w:rPr>
          <w:rStyle w:val="VerbatimChar"/>
        </w:rPr>
        <w:t xml:space="preserve">snp</w:t>
      </w:r>
      <w:r>
        <w:t xml:space="preserve"> </w:t>
      </w:r>
      <w:r>
        <w:t xml:space="preserve">(Biolink</w:t>
      </w:r>
      <w:r>
        <w:t xml:space="preserve"> </w:t>
      </w:r>
      <w:r>
        <w:rPr>
          <w:iCs/>
          <w:i/>
        </w:rPr>
        <w:t xml:space="preserve">sequence variant</w:t>
      </w:r>
      <w:r>
        <w:t xml:space="preserve">),</w:t>
      </w:r>
      <w:r>
        <w:t xml:space="preserve"> </w:t>
      </w:r>
      <w:r>
        <w:rPr>
          <w:rStyle w:val="VerbatimChar"/>
        </w:rPr>
        <w:t xml:space="preserve">gene</w:t>
      </w:r>
      <w:r>
        <w:t xml:space="preserve"> </w:t>
      </w:r>
      <w:r>
        <w:t xml:space="preserve">(Biolink</w:t>
      </w:r>
      <w:r>
        <w:t xml:space="preserve"> </w:t>
      </w:r>
      <w:r>
        <w:rPr>
          <w:iCs/>
          <w:i/>
        </w:rPr>
        <w:t xml:space="preserve">gene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is_a</w:t>
      </w:r>
      <w:r>
        <w:t xml:space="preserve"> </w:t>
      </w:r>
      <w:r>
        <w:t xml:space="preserve">required),</w:t>
      </w:r>
      <w:r>
        <w:t xml:space="preserve"> </w:t>
      </w:r>
      <w:r>
        <w:rPr>
          <w:rStyle w:val="VerbatimChar"/>
        </w:rPr>
        <w:t xml:space="preserve">pathway</w:t>
      </w:r>
      <w:r>
        <w:t xml:space="preserve"> </w:t>
      </w:r>
      <w:r>
        <w:t xml:space="preserve">(Biolink</w:t>
      </w:r>
      <w:r>
        <w:t xml:space="preserve"> </w:t>
      </w:r>
      <w:r>
        <w:rPr>
          <w:iCs/>
          <w:i/>
        </w:rPr>
        <w:t xml:space="preserve">pathway</w:t>
      </w:r>
      <w:r>
        <w:t xml:space="preserve">),</w:t>
      </w:r>
      <w:r>
        <w:t xml:space="preserve"> </w:t>
      </w:r>
      <w:r>
        <w:rPr>
          <w:rStyle w:val="VerbatimChar"/>
        </w:rPr>
        <w:t xml:space="preserve">microbe</w:t>
      </w:r>
      <w:r>
        <w:t xml:space="preserve"> </w:t>
      </w:r>
      <w:r>
        <w:t xml:space="preserve">(Biolink</w:t>
      </w:r>
      <w:r>
        <w:t xml:space="preserve"> </w:t>
      </w:r>
      <w:r>
        <w:rPr>
          <w:iCs/>
          <w:i/>
        </w:rPr>
        <w:t xml:space="preserve">organism taxon</w:t>
      </w:r>
      <w:r>
        <w:t xml:space="preserve">),</w:t>
      </w:r>
      <w:r>
        <w:t xml:space="preserve"> </w:t>
      </w:r>
      <w:r>
        <w:rPr>
          <w:rStyle w:val="VerbatimChar"/>
        </w:rPr>
        <w:t xml:space="preserve">cazyme</w:t>
      </w:r>
      <w:r>
        <w:t xml:space="preserve"> </w:t>
      </w:r>
      <w:r>
        <w:t xml:space="preserve">(Biolink</w:t>
      </w:r>
      <w:r>
        <w:t xml:space="preserve"> </w:t>
      </w:r>
      <w:r>
        <w:rPr>
          <w:iCs/>
          <w:i/>
        </w:rPr>
        <w:t xml:space="preserve">named thing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nutrient</w:t>
      </w:r>
      <w:r>
        <w:t xml:space="preserve"> </w:t>
      </w:r>
      <w:r>
        <w:t xml:space="preserve">(Biolink</w:t>
      </w:r>
      <w:r>
        <w:t xml:space="preserve"> </w:t>
      </w:r>
      <w:r>
        <w:rPr>
          <w:iCs/>
          <w:i/>
        </w:rPr>
        <w:t xml:space="preserve">small molecule</w:t>
      </w:r>
      <w:r>
        <w:t xml:space="preserve">),</w:t>
      </w:r>
      <w:r>
        <w:t xml:space="preserve"> </w:t>
      </w:r>
      <w:r>
        <w:rPr>
          <w:rStyle w:val="VerbatimChar"/>
        </w:rPr>
        <w:t xml:space="preserve">food</w:t>
      </w:r>
      <w:r>
        <w:t xml:space="preserve"> </w:t>
      </w:r>
      <w:r>
        <w:t xml:space="preserve">(Biolink</w:t>
      </w:r>
      <w:r>
        <w:t xml:space="preserve"> </w:t>
      </w:r>
      <w:r>
        <w:rPr>
          <w:iCs/>
          <w:i/>
        </w:rPr>
        <w:t xml:space="preserve">food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(Biolink</w:t>
      </w:r>
      <w:r>
        <w:t xml:space="preserve"> </w:t>
      </w:r>
      <w:r>
        <w:rPr>
          <w:iCs/>
          <w:i/>
        </w:rPr>
        <w:t xml:space="preserve">phenotypic feature</w:t>
      </w:r>
      <w:r>
        <w:t xml:space="preserve">).</w:t>
      </w:r>
      <w:r>
        <w:t xml:space="preserve"> </w:t>
      </w:r>
      <w:r>
        <w:t xml:space="preserve">Each node carries a</w:t>
      </w:r>
      <w:r>
        <w:t xml:space="preserve"> </w:t>
      </w:r>
      <w:r>
        <w:rPr>
          <w:iCs/>
          <w:i/>
        </w:rPr>
        <w:t xml:space="preserve">preferred_id</w:t>
      </w:r>
      <w:r>
        <w:t xml:space="preserve"> </w:t>
      </w:r>
      <w:r>
        <w:t xml:space="preserve">directive declaring its canonical</w:t>
      </w:r>
      <w:r>
        <w:t xml:space="preserve"> </w:t>
      </w:r>
      <w:r>
        <w:t xml:space="preserve">identifier namespace (dbSNP for SNPs, HGNC for genes, NCBITaxon for</w:t>
      </w:r>
      <w:r>
        <w:t xml:space="preserve"> </w:t>
      </w:r>
      <w:r>
        <w:t xml:space="preserve">microbes, ChEBI for nutrients, FoodOn for foods, MONDO for phenotypes,</w:t>
      </w:r>
      <w:r>
        <w:t xml:space="preserve"> </w:t>
      </w:r>
      <w:r>
        <w:t xml:space="preserve">Reactome for pathways, UniProt for CAZymes). Node-level properties</w:t>
      </w:r>
      <w:r>
        <w:t xml:space="preserve"> </w:t>
      </w:r>
      <w:r>
        <w:t xml:space="preserve">include name and rank for taxa, symbol and description for genes,</w:t>
      </w:r>
      <w:r>
        <w:t xml:space="preserve"> </w:t>
      </w:r>
      <w:r>
        <w:t xml:space="preserve">chromosome / position / risk allele for SNPs, and analytical food group</w:t>
      </w:r>
      <w:r>
        <w:t xml:space="preserve"> </w:t>
      </w:r>
      <w:r>
        <w:t xml:space="preserve">for foods.</w:t>
      </w:r>
    </w:p>
    <w:bookmarkEnd w:id="24"/>
    <w:bookmarkStart w:id="25" w:name="edge-types"/>
    <w:p>
      <w:pPr>
        <w:pStyle w:val="Heading4"/>
      </w:pPr>
      <w:r>
        <w:t xml:space="preserve">2.2.3 Edge types</w:t>
      </w:r>
    </w:p>
    <w:p>
      <w:pPr>
        <w:pStyle w:val="FirstParagraph"/>
      </w:pPr>
      <w:r>
        <w:t xml:space="preserve">Nine edge types are declared, each inheriting from Biolink</w:t>
      </w:r>
      <w:r>
        <w:t xml:space="preserve"> </w:t>
      </w:r>
      <w:r>
        <w:rPr>
          <w:iCs/>
          <w:i/>
        </w:rPr>
        <w:t xml:space="preserve">association</w:t>
      </w:r>
      <w:r>
        <w:t xml:space="preserve">:</w:t>
      </w:r>
      <w:r>
        <w:t xml:space="preserve"> </w:t>
      </w:r>
      <w:r>
        <w:t xml:space="preserve">SnpToGene, SnpToPhenotype, GeneToPathway, FoodToNutrient,</w:t>
      </w:r>
      <w:r>
        <w:t xml:space="preserve"> </w:t>
      </w:r>
      <w:r>
        <w:t xml:space="preserve">MicrobeToNutrient, MicrobeToCazyme, MicrobeToGene, MicrobeToPhenotype,</w:t>
      </w:r>
      <w:r>
        <w:t xml:space="preserve"> </w:t>
      </w:r>
      <w:r>
        <w:t xml:space="preserve">and PhenotypeToPhenotype. Edges are organised by layer: genetics-internal</w:t>
      </w:r>
      <w:r>
        <w:t xml:space="preserve"> </w:t>
      </w:r>
      <w:r>
        <w:t xml:space="preserve">(three types), food-internal (one type), microbiome-internal (three</w:t>
      </w:r>
      <w:r>
        <w:t xml:space="preserve"> </w:t>
      </w:r>
      <w:r>
        <w:t xml:space="preserve">types), and cross-layer (two types). All edges carry per-edge</w:t>
      </w:r>
      <w:r>
        <w:t xml:space="preserve"> </w:t>
      </w:r>
      <w:r>
        <w:t xml:space="preserve">provenance properties — PMID for literature-derived edges, FDC food</w:t>
      </w:r>
      <w:r>
        <w:t xml:space="preserve"> </w:t>
      </w:r>
      <w:r>
        <w:t xml:space="preserve">identifier for compositional edges — together with edge-type-specific</w:t>
      </w:r>
      <w:r>
        <w:t xml:space="preserve"> </w:t>
      </w:r>
      <w:r>
        <w:t xml:space="preserve">properties such as effect size and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value (SnpToPhenotype),</w:t>
      </w:r>
      <w:r>
        <w:t xml:space="preserve"> </w:t>
      </w:r>
      <w:r>
        <w:t xml:space="preserve">concentration and unit (FoodToNutrient), and evidence tier and</w:t>
      </w:r>
      <w:r>
        <w:t xml:space="preserve"> </w:t>
      </w:r>
      <w:r>
        <w:t xml:space="preserve">experimental condition (MicrobeToNutrient). The complete 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config/schema_config.yaml</w:t>
      </w:r>
      <w:r>
        <w:t xml:space="preserve">) is included in the released code base.</w:t>
      </w:r>
    </w:p>
    <w:bookmarkEnd w:id="25"/>
    <w:bookmarkStart w:id="26" w:name="biocypher-property-declaration"/>
    <w:p>
      <w:pPr>
        <w:pStyle w:val="Heading4"/>
      </w:pPr>
      <w:r>
        <w:t xml:space="preserve">2.2.4 BioCypher property declaration</w:t>
      </w:r>
    </w:p>
    <w:p>
      <w:pPr>
        <w:pStyle w:val="FirstParagraph"/>
      </w:pPr>
      <w:r>
        <w:t xml:space="preserve">We note an implementation-relevant feature of the BioCypher framework:</w:t>
      </w:r>
      <w:r>
        <w:t xml:space="preserve"> </w:t>
      </w:r>
      <w:r>
        <w:t xml:space="preserve">edge properties that are produced by an adapter but not enumerated under</w:t>
      </w:r>
      <w:r>
        <w:t xml:space="preserve"> </w:t>
      </w:r>
      <w:r>
        <w:t xml:space="preserve">the corresponding</w:t>
      </w:r>
      <w:r>
        <w:t xml:space="preserve"> </w:t>
      </w:r>
      <w:r>
        <w:rPr>
          <w:rStyle w:val="VerbatimChar"/>
        </w:rPr>
        <w:t xml:space="preserve">properties:</w:t>
      </w:r>
      <w:r>
        <w:t xml:space="preserve"> </w:t>
      </w:r>
      <w:r>
        <w:t xml:space="preserve">block in the schema configuration file</w:t>
      </w:r>
      <w:r>
        <w:t xml:space="preserve"> </w:t>
      </w:r>
      <w:r>
        <w:t xml:space="preserve">are silently dropped at CSV write time (logged at INFO level rather than</w:t>
      </w:r>
      <w:r>
        <w:t xml:space="preserve"> </w:t>
      </w:r>
      <w:r>
        <w:t xml:space="preserve">as a warning). During development, this caused the PMID property of</w:t>
      </w:r>
      <w:r>
        <w:t xml:space="preserve"> </w:t>
      </w:r>
      <w:r>
        <w:t xml:space="preserve">MicrobeToNutrient and MicrobeToGene edges to be lost between adapter</w:t>
      </w:r>
      <w:r>
        <w:t xml:space="preserve"> </w:t>
      </w:r>
      <w:r>
        <w:t xml:space="preserve">output and the Neo4j-loaded graph; the issue was identified during the</w:t>
      </w:r>
      <w:r>
        <w:t xml:space="preserve"> </w:t>
      </w:r>
      <w:r>
        <w:t xml:space="preserve">manual audit (§4.3) when inspection of edge property keys in Neo4j</w:t>
      </w:r>
      <w:r>
        <w:t xml:space="preserve"> </w:t>
      </w:r>
      <w:r>
        <w:t xml:space="preserve">showed only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evidence_tier</w:t>
      </w:r>
      <w:r>
        <w:t xml:space="preserve">. We resolved the issue by</w:t>
      </w:r>
      <w:r>
        <w:t xml:space="preserve"> </w:t>
      </w:r>
      <w:r>
        <w:t xml:space="preserve">explicitly declaring</w:t>
      </w:r>
      <w:r>
        <w:t xml:space="preserve"> </w:t>
      </w:r>
      <w:r>
        <w:rPr>
          <w:rStyle w:val="VerbatimChar"/>
        </w:rPr>
        <w:t xml:space="preserve">pmid</w:t>
      </w:r>
      <w:r>
        <w:t xml:space="preserve"> </w:t>
      </w:r>
      <w:r>
        <w:t xml:space="preserve">(and, for MicrobeToNutrient,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) in</w:t>
      </w:r>
      <w:r>
        <w:t xml:space="preserve"> </w:t>
      </w:r>
      <w:r>
        <w:t xml:space="preserve">the schema; we recommend explicit enumeration of all retained properties</w:t>
      </w:r>
      <w:r>
        <w:t xml:space="preserve"> </w:t>
      </w:r>
      <w:r>
        <w:t xml:space="preserve">as a best practice for any BioCypher-based pipeline.</w:t>
      </w:r>
    </w:p>
    <w:bookmarkEnd w:id="26"/>
    <w:bookmarkEnd w:id="27"/>
    <w:bookmarkStart w:id="28" w:name="adapter-implementation"/>
    <w:p>
      <w:pPr>
        <w:pStyle w:val="Heading3"/>
      </w:pPr>
      <w:r>
        <w:t xml:space="preserve">2.3 Adapter implementation</w:t>
      </w:r>
    </w:p>
    <w:p>
      <w:pPr>
        <w:pStyle w:val="FirstParagraph"/>
      </w:pPr>
      <w:r>
        <w:t xml:space="preserve">Each of the three layers is ingested by a dedicated Python adapter class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adapters/</w:t>
      </w:r>
      <w:r>
        <w:t xml:space="preserve"> </w:t>
      </w:r>
      <w:r>
        <w:t xml:space="preserve">package, following the BioCypher generator interface:</w:t>
      </w:r>
      <w:r>
        <w:t xml:space="preserve"> </w:t>
      </w:r>
      <w:r>
        <w:t xml:space="preserve">each adapter implements</w:t>
      </w:r>
      <w:r>
        <w:t xml:space="preserve"> </w:t>
      </w:r>
      <w:r>
        <w:rPr>
          <w:rStyle w:val="VerbatimChar"/>
        </w:rPr>
        <w:t xml:space="preserve">get_nodes()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get_edges()</w:t>
      </w:r>
      <w:r>
        <w:t xml:space="preserve"> </w:t>
      </w:r>
      <w:r>
        <w:t xml:space="preserve">methods that</w:t>
      </w:r>
      <w:r>
        <w:t xml:space="preserve"> </w:t>
      </w:r>
      <w:r>
        <w:t xml:space="preserve">yield</w:t>
      </w:r>
      <w:r>
        <w:t xml:space="preserve"> </w:t>
      </w:r>
      <w:r>
        <w:rPr>
          <w:rStyle w:val="VerbatimChar"/>
        </w:rPr>
        <w:t xml:space="preserve">(id, label, properties)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(id, source, target, label, properties)</w:t>
      </w:r>
      <w:r>
        <w:t xml:space="preserve"> </w:t>
      </w:r>
      <w:r>
        <w:t xml:space="preserve">tuples, respectively. The three adapters share a common</w:t>
      </w:r>
      <w:r>
        <w:t xml:space="preserve"> </w:t>
      </w:r>
      <w:r>
        <w:t xml:space="preserve">filtering-and-yielding pattern but differ in their input-format-specific</w:t>
      </w:r>
      <w:r>
        <w:t xml:space="preserve"> </w:t>
      </w:r>
      <w:r>
        <w:t xml:space="preserve">parsing logic.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GWAS 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adapters/gwas_adapter.py</w:t>
      </w:r>
      <w:r>
        <w:t xml:space="preserve">) reads the GWAS Catalog</w:t>
      </w:r>
      <w:r>
        <w:t xml:space="preserve"> </w:t>
      </w:r>
      <w:r>
        <w:t xml:space="preserve">TSV, filters by trait keyword and</w:t>
      </w:r>
      <w:r>
        <w:t xml:space="preserve"> </w:t>
      </w:r>
      <w:r>
        <w:rPr>
          <w:iCs/>
          <w:i/>
        </w:rPr>
        <w:t xml:space="preserve">P</w:t>
      </w:r>
      <w:r>
        <w:t xml:space="preserve">-value, parses the</w:t>
      </w:r>
      <w:r>
        <w:t xml:space="preserve"> </w:t>
      </w:r>
      <w:r>
        <w:rPr>
          <w:iCs/>
          <w:i/>
        </w:rPr>
        <w:t xml:space="preserve">REPORTED</w:t>
      </w:r>
      <w:r>
        <w:rPr>
          <w:iCs/>
          <w:i/>
        </w:rPr>
        <w:t xml:space="preserve"> </w:t>
      </w:r>
      <w:r>
        <w:rPr>
          <w:iCs/>
          <w:i/>
        </w:rPr>
        <w:t xml:space="preserve">GENE(S)</w:t>
      </w:r>
      <w:r>
        <w:t xml:space="preserve"> </w:t>
      </w:r>
      <w:r>
        <w:t xml:space="preserve">field with a regex split on</w:t>
      </w:r>
      <w:r>
        <w:t xml:space="preserve"> </w:t>
      </w:r>
      <w:r>
        <w:rPr>
          <w:rStyle w:val="VerbatimChar"/>
        </w:rPr>
        <w:t xml:space="preserve">[,;]</w:t>
      </w:r>
      <w:r>
        <w:t xml:space="preserve">, and excludes a curated</w:t>
      </w:r>
      <w:r>
        <w:t xml:space="preserve"> </w:t>
      </w:r>
      <w:r>
        <w:t xml:space="preserve">set of junk gene symbols (</w:t>
      </w:r>
      <w:r>
        <w:rPr>
          <w:rStyle w:val="VerbatimChar"/>
        </w:rPr>
        <w:t xml:space="preserve">{"NR", "NA", "intergenic", "-", "", "null", "None"}</w:t>
      </w:r>
      <w:r>
        <w:t xml:space="preserve">). It deduplicates</w:t>
      </w:r>
      <w:r>
        <w:t xml:space="preserve"> </w:t>
      </w:r>
      <w:r>
        <w:rPr>
          <w:rStyle w:val="VerbatimChar"/>
        </w:rPr>
        <w:t xml:space="preserve">(SNP, phenotype)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(SNP, gene)</w:t>
      </w:r>
      <w:r>
        <w:t xml:space="preserve"> </w:t>
      </w:r>
      <w:r>
        <w:t xml:space="preserve">pairs</w:t>
      </w:r>
      <w:r>
        <w:t xml:space="preserve"> </w:t>
      </w:r>
      <w:r>
        <w:t xml:space="preserve">across the input rows, retaining the smallest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value when duplicates</w:t>
      </w:r>
      <w:r>
        <w:t xml:space="preserve"> </w:t>
      </w:r>
      <w:r>
        <w:t xml:space="preserve">occur.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USDA 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adapters/usda_adapter.py</w:t>
      </w:r>
      <w:r>
        <w:t xml:space="preserve">) reads the four</w:t>
      </w:r>
      <w:r>
        <w:t xml:space="preserve"> </w:t>
      </w:r>
      <w:r>
        <w:t xml:space="preserve">Foundation Foods CSVs (food, nutrient, food_nutrient, food_category),</w:t>
      </w:r>
      <w:r>
        <w:t xml:space="preserve"> </w:t>
      </w:r>
      <w:r>
        <w:t xml:space="preserve">joins them in memory, and emits one Food node per</w:t>
      </w:r>
      <w:r>
        <w:t xml:space="preserve"> </w:t>
      </w:r>
      <w:r>
        <w:rPr>
          <w:rStyle w:val="VerbatimChar"/>
        </w:rPr>
        <w:t xml:space="preserve">data_type == "foundation_food"</w:t>
      </w:r>
      <w:r>
        <w:t xml:space="preserve"> </w:t>
      </w:r>
      <w:r>
        <w:t xml:space="preserve">row, one Nutrient node per distinct</w:t>
      </w:r>
      <w:r>
        <w:t xml:space="preserve"> </w:t>
      </w:r>
      <w:r>
        <w:rPr>
          <w:rStyle w:val="VerbatimChar"/>
        </w:rPr>
        <w:t xml:space="preserve">nutrient_nbr</w:t>
      </w:r>
      <w:r>
        <w:t xml:space="preserve"> </w:t>
      </w:r>
      <w:r>
        <w:t xml:space="preserve">encountered, and one FoodToNutrient edge per</w:t>
      </w:r>
      <w:r>
        <w:t xml:space="preserve"> </w:t>
      </w:r>
      <w:r>
        <w:rPr>
          <w:rStyle w:val="VerbatimChar"/>
        </w:rPr>
        <w:t xml:space="preserve">food_nutrient</w:t>
      </w:r>
      <w:r>
        <w:t xml:space="preserve"> </w:t>
      </w:r>
      <w:r>
        <w:t xml:space="preserve">row. The</w:t>
      </w:r>
      <w:r>
        <w:t xml:space="preserve"> </w:t>
      </w:r>
      <w:r>
        <w:t xml:space="preserve">hand-curated</w:t>
      </w:r>
      <w:r>
        <w:t xml:space="preserve"> </w:t>
      </w:r>
      <w:r>
        <w:rPr>
          <w:rStyle w:val="VerbatimChar"/>
        </w:rPr>
        <w:t xml:space="preserve">NUTRIENT_NBR_TO_CHEBI</w:t>
      </w:r>
      <w:r>
        <w:t xml:space="preserve"> </w:t>
      </w:r>
      <w:r>
        <w:t xml:space="preserve">mapping is applied to resolve</w:t>
      </w:r>
      <w:r>
        <w:t xml:space="preserve"> </w:t>
      </w:r>
      <w:r>
        <w:t xml:space="preserve">ChEBI identifiers; unmapped nutrients fall back to</w:t>
      </w:r>
      <w:r>
        <w:t xml:space="preserve"> </w:t>
      </w:r>
      <w:r>
        <w:rPr>
          <w:rStyle w:val="VerbatimChar"/>
        </w:rPr>
        <w:t xml:space="preserve">USDA:&lt;nbr&gt;</w:t>
      </w:r>
      <w:r>
        <w:t xml:space="preserve"> </w:t>
      </w:r>
      <w:r>
        <w:t xml:space="preserve">identifiers within the same namespace.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gutMGene 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adapters/gutmgene_adapter.py</w:t>
      </w:r>
      <w:r>
        <w:t xml:space="preserve">) reads the two</w:t>
      </w:r>
      <w:r>
        <w:t xml:space="preserve"> </w:t>
      </w:r>
      <w:r>
        <w:t xml:space="preserve">literature-based association tables. The metabolite file is in UTF-8;</w:t>
      </w:r>
      <w:r>
        <w:t xml:space="preserve"> </w:t>
      </w:r>
      <w:r>
        <w:t xml:space="preserve">the host-gene file is in ISO-8859-1 (the adapter tries both encodings</w:t>
      </w:r>
      <w:r>
        <w:t xml:space="preserve"> </w:t>
      </w:r>
      <w:r>
        <w:t xml:space="preserve">in order). Two adapter-level transformations are applied. First, the</w:t>
      </w:r>
      <w:r>
        <w:t xml:space="preserve"> </w:t>
      </w:r>
      <w:r>
        <w:t xml:space="preserve">gutMGene CSV uses a fill-down convention in which subsequent rows of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group inherit the PMID from the first row of the group</w:t>
      </w:r>
      <w:r>
        <w:t xml:space="preserve"> </w:t>
      </w:r>
      <w:r>
        <w:t xml:space="preserve">but leave subsequent rows blank in raw export; we forward-fill PMID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groups to recover this provenance. Second, when the same</w:t>
      </w:r>
      <w:r>
        <w:t xml:space="preserve"> </w:t>
      </w:r>
      <w:r>
        <w:rPr>
          <w:rStyle w:val="VerbatimChar"/>
        </w:rPr>
        <w:t xml:space="preserve">(microbe, target)</w:t>
      </w:r>
      <w:r>
        <w:t xml:space="preserve"> </w:t>
      </w:r>
      <w:r>
        <w:t xml:space="preserve">pair is reported in multiple papers, only one edge</w:t>
      </w:r>
      <w:r>
        <w:t xml:space="preserve"> </w:t>
      </w:r>
      <w:r>
        <w:t xml:space="preserve">is yielded; if the first encountered row lacks a PMID, the adapter</w:t>
      </w:r>
      <w:r>
        <w:t xml:space="preserve"> </w:t>
      </w:r>
      <w:r>
        <w:t xml:space="preserve">prefers a subsequent PMID-bearing row. After both transformations, 100%</w:t>
      </w:r>
      <w:r>
        <w:t xml:space="preserve"> </w:t>
      </w:r>
      <w:r>
        <w:t xml:space="preserve">of MicrobeToNutrient and MicrobeToGene edges in the released graph</w:t>
      </w:r>
      <w:r>
        <w:t xml:space="preserve"> </w:t>
      </w:r>
      <w:r>
        <w:t xml:space="preserve">carry a PubMed citation.</w:t>
      </w:r>
    </w:p>
    <w:bookmarkEnd w:id="28"/>
    <w:bookmarkStart w:id="29" w:name="build-pipeline"/>
    <w:p>
      <w:pPr>
        <w:pStyle w:val="Heading3"/>
      </w:pPr>
      <w:r>
        <w:t xml:space="preserve">2.4 Build pipeline</w:t>
      </w:r>
    </w:p>
    <w:p>
      <w:pPr>
        <w:pStyle w:val="FirstParagraph"/>
      </w:pPr>
      <w:r>
        <w:t xml:space="preserve">The complete build is orchestrated by</w:t>
      </w:r>
      <w:r>
        <w:t xml:space="preserve"> </w:t>
      </w:r>
      <w:r>
        <w:rPr>
          <w:rStyle w:val="VerbatimChar"/>
        </w:rPr>
        <w:t xml:space="preserve">scripts/build_kg.py</w:t>
      </w:r>
      <w:r>
        <w:t xml:space="preserve">, which</w:t>
      </w:r>
      <w:r>
        <w:t xml:space="preserve"> </w:t>
      </w:r>
      <w:r>
        <w:t xml:space="preserve">instantiates a BioCypher object configured from</w:t>
      </w:r>
      <w:r>
        <w:t xml:space="preserve"> </w:t>
      </w:r>
      <w:r>
        <w:rPr>
          <w:rStyle w:val="VerbatimChar"/>
        </w:rPr>
        <w:t xml:space="preserve">config/biocypher_config.yaml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config/schema_config.yaml</w:t>
      </w:r>
      <w:r>
        <w:t xml:space="preserve">,</w:t>
      </w:r>
      <w:r>
        <w:t xml:space="preserve"> </w:t>
      </w:r>
      <w:r>
        <w:t xml:space="preserve">sequentially runs the three adapters, and writes Biolink-validated CSV</w:t>
      </w:r>
      <w:r>
        <w:t xml:space="preserve"> </w:t>
      </w:r>
      <w:r>
        <w:t xml:space="preserve">files to</w:t>
      </w:r>
      <w:r>
        <w:t xml:space="preserve"> </w:t>
      </w:r>
      <w:r>
        <w:rPr>
          <w:rStyle w:val="VerbatimChar"/>
        </w:rPr>
        <w:t xml:space="preserve">data/processed/biocypher-out/</w:t>
      </w:r>
      <w:r>
        <w:t xml:space="preserve">. Loading into Neo4j is handled</w:t>
      </w:r>
      <w:r>
        <w:t xml:space="preserve"> </w:t>
      </w:r>
      <w:r>
        <w:t xml:space="preserve">by a separate script (</w:t>
      </w:r>
      <w:r>
        <w:rPr>
          <w:rStyle w:val="VerbatimChar"/>
        </w:rPr>
        <w:t xml:space="preserve">scripts/load_to_neo4j.py</w:t>
      </w:r>
      <w:r>
        <w:t xml:space="preserve">) that reads the</w:t>
      </w:r>
      <w:r>
        <w:t xml:space="preserve"> </w:t>
      </w:r>
      <w:r>
        <w:t xml:space="preserve">generated CSVs and inserts them via the bolt protocol using</w:t>
      </w:r>
      <w:r>
        <w:t xml:space="preserve"> </w:t>
      </w:r>
      <w:r>
        <w:rPr>
          <w:rStyle w:val="VerbatimChar"/>
        </w:rPr>
        <w:t xml:space="preserve">neo4j&gt;=5.0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execute_write</w:t>
      </w:r>
      <w:r>
        <w:t xml:space="preserve"> </w:t>
      </w:r>
      <w:r>
        <w:t xml:space="preserve">API; we use a bolt-driver loader rather</w:t>
      </w:r>
      <w:r>
        <w:t xml:space="preserve"> </w:t>
      </w:r>
      <w:r>
        <w:t xml:space="preserve">than the</w:t>
      </w:r>
      <w:r>
        <w:t xml:space="preserve"> </w:t>
      </w:r>
      <w:r>
        <w:rPr>
          <w:rStyle w:val="VerbatimChar"/>
        </w:rPr>
        <w:t xml:space="preserve">neo4j-admin import</w:t>
      </w:r>
      <w:r>
        <w:t xml:space="preserve"> </w:t>
      </w:r>
      <w:r>
        <w:t xml:space="preserve">tool because it does not require Neo4j</w:t>
      </w:r>
      <w:r>
        <w:t xml:space="preserve"> </w:t>
      </w:r>
      <w:r>
        <w:t xml:space="preserve">to be stopped, supports incremental development, and uses MERGE</w:t>
      </w:r>
      <w:r>
        <w:t xml:space="preserve"> </w:t>
      </w:r>
      <w:r>
        <w:t xml:space="preserve">semantics that correctly handle the</w:t>
      </w:r>
      <w:r>
        <w:t xml:space="preserve"> </w:t>
      </w:r>
      <w:r>
        <w:rPr>
          <w:rStyle w:val="VerbatimChar"/>
        </w:rPr>
        <w:t xml:space="preserve">part001</w:t>
      </w:r>
      <w:r>
        <w:t xml:space="preserve"> </w:t>
      </w:r>
      <w:r>
        <w:t xml:space="preserve">files that BioCypher</w:t>
      </w:r>
      <w:r>
        <w:t xml:space="preserve"> </w:t>
      </w:r>
      <w:r>
        <w:t xml:space="preserve">emits for nodes that appear in more than one adapter (e.g. genes shared</w:t>
      </w:r>
      <w:r>
        <w:t xml:space="preserve"> </w:t>
      </w:r>
      <w:r>
        <w:t xml:space="preserve">between the GWAS Catalog and gutMGene, and nutrients shared between</w:t>
      </w:r>
      <w:r>
        <w:t xml:space="preserve"> </w:t>
      </w:r>
      <w:r>
        <w:t xml:space="preserve">USDA FoodData Central and gutMGene). Total runtime is approximately</w:t>
      </w:r>
      <w:r>
        <w:t xml:space="preserve"> </w:t>
      </w:r>
      <w:r>
        <w:t xml:space="preserve">30 seconds for the build step and 2 minutes for the Neo4j load step</w:t>
      </w:r>
      <w:r>
        <w:t xml:space="preserve"> </w:t>
      </w:r>
      <w:r>
        <w:t xml:space="preserve">on a workstation with an Intel i7 CPU and 16 GB RAM, executing under</w:t>
      </w:r>
      <w:r>
        <w:t xml:space="preserve"> </w:t>
      </w:r>
      <w:r>
        <w:t xml:space="preserve">WSL2 Ubuntu and a single-node Neo4j 5.x community-edition instance.</w:t>
      </w:r>
    </w:p>
    <w:bookmarkEnd w:id="29"/>
    <w:bookmarkStart w:id="30" w:name="reproducibility"/>
    <w:p>
      <w:pPr>
        <w:pStyle w:val="Heading3"/>
      </w:pPr>
      <w:r>
        <w:t xml:space="preserve">2.5 Reproducibility</w:t>
      </w:r>
    </w:p>
    <w:p>
      <w:pPr>
        <w:pStyle w:val="FirstParagraph"/>
      </w:pPr>
      <w:r>
        <w:t xml:space="preserve">The complete build pipeline — including all three adapters, the schema</w:t>
      </w:r>
      <w:r>
        <w:t xml:space="preserve"> </w:t>
      </w:r>
      <w:r>
        <w:t xml:space="preserve">configuration, the build and loader scripts, the manual-audit</w:t>
      </w:r>
      <w:r>
        <w:t xml:space="preserve"> </w:t>
      </w:r>
      <w:r>
        <w:t xml:space="preserve">reproducibility scripts, and the fifteen competency queries — is</w:t>
      </w:r>
      <w:r>
        <w:t xml:space="preserve"> </w:t>
      </w:r>
      <w:r>
        <w:t xml:space="preserve">released under CC-BY-4.0 at https://github.com/sthoniyot/cardiometabolic-kg</w:t>
      </w:r>
      <w:r>
        <w:t xml:space="preserve"> </w:t>
      </w:r>
      <w:r>
        <w:t xml:space="preserve">and archived at Zenodo (DOI to be assigned). Software dependencies are</w:t>
      </w:r>
      <w:r>
        <w:t xml:space="preserve"> </w:t>
      </w:r>
      <w:r>
        <w:t xml:space="preserve">pinned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(BioCypher 0.8.0, Neo4j Python driver</w:t>
      </w:r>
      <w:r>
        <w:t xml:space="preserve"> </w:t>
      </w:r>
      <w:r>
        <w:t xml:space="preserve">≥5.0, pandas, requests, pyyaml). The build environment is reproducible</w:t>
      </w:r>
      <w:r>
        <w:t xml:space="preserve"> </w:t>
      </w:r>
      <w:r>
        <w:t xml:space="preserve">via a conda specification (</w:t>
      </w:r>
      <w:r>
        <w:rPr>
          <w:rStyle w:val="VerbatimChar"/>
        </w:rPr>
        <w:t xml:space="preserve">environment.yml</w:t>
      </w:r>
      <w:r>
        <w:t xml:space="preserve">) targeting Python 3.11.</w:t>
      </w:r>
      <w:r>
        <w:t xml:space="preserve"> </w:t>
      </w:r>
      <w:r>
        <w:t xml:space="preserve">Source data is downloadable directly from the upstream resources via</w:t>
      </w:r>
      <w:r>
        <w:t xml:space="preserve"> </w:t>
      </w:r>
      <w:r>
        <w:t xml:space="preserve">URLs documented in</w:t>
      </w:r>
      <w:r>
        <w:t xml:space="preserve"> </w:t>
      </w:r>
      <w:r>
        <w:rPr>
          <w:rStyle w:val="VerbatimChar"/>
        </w:rPr>
        <w:t xml:space="preserve">DATA_SOURCES.md</w:t>
      </w:r>
      <w:r>
        <w:t xml:space="preserve">; the GWAS Catalog and USDA</w:t>
      </w:r>
      <w:r>
        <w:t xml:space="preserve"> </w:t>
      </w:r>
      <w:r>
        <w:t xml:space="preserve">FoodData Central provide stable bulk-download endpoints, while</w:t>
      </w:r>
      <w:r>
        <w:t xml:space="preserve"> </w:t>
      </w:r>
      <w:r>
        <w:t xml:space="preserve">gutMGene v2.0 requires a one-time manual download from its host</w:t>
      </w:r>
      <w:r>
        <w:t xml:space="preserve"> </w:t>
      </w:r>
      <w:r>
        <w:t xml:space="preserve">website. Random-seed-dependent operations — specifically the audit</w:t>
      </w:r>
      <w:r>
        <w:t xml:space="preserve"> </w:t>
      </w:r>
      <w:r>
        <w:t xml:space="preserve">sample selection in</w:t>
      </w:r>
      <w:r>
        <w:t xml:space="preserve"> </w:t>
      </w:r>
      <w:r>
        <w:rPr>
          <w:rStyle w:val="VerbatimChar"/>
        </w:rPr>
        <w:t xml:space="preserve">scripts/select_audit_subset.py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 </w:t>
      </w:r>
      <w:r>
        <w:t xml:space="preserve">throughout. The full release is tagged at v1.0.0 in the Git history;</w:t>
      </w:r>
      <w:r>
        <w:t xml:space="preserve"> </w:t>
      </w:r>
      <w:r>
        <w:t xml:space="preserve">the snapshot of the Neo4j database used for all reported results is</w:t>
      </w:r>
      <w:r>
        <w:t xml:space="preserve"> </w:t>
      </w:r>
      <w:r>
        <w:t xml:space="preserve">included as a</w:t>
      </w:r>
      <w:r>
        <w:t xml:space="preserve"> </w:t>
      </w:r>
      <w:r>
        <w:rPr>
          <w:rStyle w:val="VerbatimChar"/>
        </w:rPr>
        <w:t xml:space="preserve">.dump</w:t>
      </w:r>
      <w:r>
        <w:t xml:space="preserve"> </w:t>
      </w:r>
      <w:r>
        <w:t xml:space="preserve">file in the Zenodo deposit.</w:t>
      </w:r>
    </w:p>
    <w:bookmarkEnd w:id="30"/>
    <w:bookmarkEnd w:id="31"/>
    <w:bookmarkStart w:id="35" w:name="data-records"/>
    <w:p>
      <w:pPr>
        <w:pStyle w:val="Heading2"/>
      </w:pPr>
      <w:r>
        <w:t xml:space="preserve">3 Data Records</w:t>
      </w:r>
    </w:p>
    <w:p>
      <w:pPr>
        <w:pStyle w:val="FirstParagraph"/>
      </w:pPr>
      <w:r>
        <w:t xml:space="preserve">The cardiometabolic knowledge graph and all reproducibility artefacts are</w:t>
      </w:r>
      <w:r>
        <w:t xml:space="preserve"> </w:t>
      </w:r>
      <w:r>
        <w:t xml:space="preserve">released under CC-BY-4.0 in two coordinated locations: a Git repository at</w:t>
      </w:r>
      <w:r>
        <w:t xml:space="preserve"> </w:t>
      </w:r>
      <w:r>
        <w:t xml:space="preserve">https://github.com/sthoniyot/cardiometabolic-kg containing source code,</w:t>
      </w:r>
      <w:r>
        <w:t xml:space="preserve"> </w:t>
      </w:r>
      <w:r>
        <w:t xml:space="preserve">schema configuration, and pipeline scripts; and a Zenodo deposit at</w:t>
      </w:r>
      <w:r>
        <w:t xml:space="preserve"> </w:t>
      </w:r>
      <w:r>
        <w:t xml:space="preserve">https://doi.org/10.5281/zenodo.PLACEHOLDER containing the pre-built</w:t>
      </w:r>
      <w:r>
        <w:t xml:space="preserve"> </w:t>
      </w:r>
      <w:r>
        <w:t xml:space="preserve">knowledge graph artefacts that are too large to commit to a Git history</w:t>
      </w:r>
      <w:r>
        <w:t xml:space="preserve"> </w:t>
      </w:r>
      <w:r>
        <w:t xml:space="preserve">(Table 2). The two are linked: each tagged GitHub release is deposited to Zenodo, ensuring that every released graph version</w:t>
      </w:r>
      <w:r>
        <w:t xml:space="preserve"> </w:t>
      </w:r>
      <w:r>
        <w:t xml:space="preserve">is associated with both a Git tag and a persistent DOI.</w:t>
      </w:r>
    </w:p>
    <w:bookmarkStart w:id="32" w:name="pre-built-knowledge-graph-zenodo"/>
    <w:p>
      <w:pPr>
        <w:pStyle w:val="Heading3"/>
      </w:pPr>
      <w:r>
        <w:t xml:space="preserve">3.1 Pre-built knowledge graph (Zenodo)</w:t>
      </w:r>
    </w:p>
    <w:p>
      <w:pPr>
        <w:pStyle w:val="FirstParagraph"/>
      </w:pPr>
      <w:r>
        <w:t xml:space="preserve">The Zenodo deposit (DOI: 10.5281/zenodo.PLACEHOLDER) contains three</w:t>
      </w:r>
      <w:r>
        <w:t xml:space="preserve"> </w:t>
      </w:r>
      <w:r>
        <w:t xml:space="preserve">pre-built artefacts.</w:t>
      </w:r>
      <w:r>
        <w:t xml:space="preserve"> </w:t>
      </w:r>
      <w:r>
        <w:rPr>
          <w:rStyle w:val="VerbatimChar"/>
          <w:bCs/>
          <w:b/>
        </w:rPr>
        <w:t xml:space="preserve">cardiometabolic_kg_v1.0.0.dump</w:t>
      </w:r>
      <w:r>
        <w:t xml:space="preserve"> </w:t>
      </w:r>
      <w:r>
        <w:t xml:space="preserve">(~50 MB) is a</w:t>
      </w:r>
      <w:r>
        <w:t xml:space="preserve"> </w:t>
      </w:r>
      <w:r>
        <w:t xml:space="preserve">Neo4j 5.x database dump that can be loaded directly into a local Neo4j</w:t>
      </w:r>
      <w:r>
        <w:t xml:space="preserve"> </w:t>
      </w:r>
      <w:r>
        <w:t xml:space="preserve">instance with</w:t>
      </w:r>
      <w:r>
        <w:t xml:space="preserve"> </w:t>
      </w:r>
      <w:r>
        <w:rPr>
          <w:rStyle w:val="VerbatimChar"/>
        </w:rPr>
        <w:t xml:space="preserve">neo4j-admin database load --from-path=./ cardiometabolic_kg_v1.0.0.dump neo4j --overwrite-destination</w:t>
      </w:r>
      <w:r>
        <w:t xml:space="preserve">; this is</w:t>
      </w:r>
      <w:r>
        <w:t xml:space="preserve"> </w:t>
      </w:r>
      <w:r>
        <w:t xml:space="preserve">the recommended starting point for users who want to immediately query</w:t>
      </w:r>
      <w:r>
        <w:t xml:space="preserve"> </w:t>
      </w:r>
      <w:r>
        <w:t xml:space="preserve">the graph.</w:t>
      </w:r>
      <w:r>
        <w:t xml:space="preserve"> </w:t>
      </w:r>
      <w:r>
        <w:rPr>
          <w:rStyle w:val="VerbatimChar"/>
          <w:bCs/>
          <w:b/>
        </w:rPr>
        <w:t xml:space="preserve">cardiometabolic_kg_v1.0.0_csv.zip</w:t>
      </w:r>
      <w:r>
        <w:t xml:space="preserve"> </w:t>
      </w:r>
      <w:r>
        <w:t xml:space="preserve">(~30 MB compressed)</w:t>
      </w:r>
      <w:r>
        <w:t xml:space="preserve"> </w:t>
      </w:r>
      <w:r>
        <w:t xml:space="preserve">contains the per-node and per-edge CSV files emitted by the BioCypher</w:t>
      </w:r>
      <w:r>
        <w:t xml:space="preserve"> </w:t>
      </w:r>
      <w:r>
        <w:t xml:space="preserve">pipeline, with one CSV per node type and one per edge type plus their</w:t>
      </w:r>
      <w:r>
        <w:t xml:space="preserve"> </w:t>
      </w:r>
      <w:r>
        <w:t xml:space="preserve">corresponding header files; this format is suitable for users who wish</w:t>
      </w:r>
      <w:r>
        <w:t xml:space="preserve"> </w:t>
      </w:r>
      <w:r>
        <w:t xml:space="preserve">to load the graph into a non-Neo4j backend (e.g. ArangoDB, Memgraph) or</w:t>
      </w:r>
      <w:r>
        <w:t xml:space="preserve"> </w:t>
      </w:r>
      <w:r>
        <w:t xml:space="preserve">who require a database-agnostic intermediate.</w:t>
      </w:r>
      <w:r>
        <w:t xml:space="preserve"> </w:t>
      </w:r>
      <w:r>
        <w:rPr>
          <w:rStyle w:val="VerbatimChar"/>
          <w:bCs/>
          <w:b/>
        </w:rPr>
        <w:t xml:space="preserve">Cardiometabolic-KG_v1.0.0_source.zip</w:t>
      </w:r>
      <w:r>
        <w:t xml:space="preserve"> </w:t>
      </w:r>
      <w:r>
        <w:t xml:space="preserve">(~5 MB) is a snapshot of the GitHub repository at the v1.0.0 tag,</w:t>
      </w:r>
      <w:r>
        <w:t xml:space="preserve"> </w:t>
      </w:r>
      <w:r>
        <w:t xml:space="preserve">included for archival completeness so that the deposit is fully</w:t>
      </w:r>
      <w:r>
        <w:t xml:space="preserve"> </w:t>
      </w:r>
      <w:r>
        <w:t xml:space="preserve">self-contained even if the GitHub repository becomes unavailable.</w:t>
      </w:r>
    </w:p>
    <w:bookmarkEnd w:id="32"/>
    <w:bookmarkStart w:id="33" w:name="source-code-and-pipeline-github"/>
    <w:p>
      <w:pPr>
        <w:pStyle w:val="Heading3"/>
      </w:pPr>
      <w:r>
        <w:t xml:space="preserve">3.2 Source code and pipeline (GitHub)</w:t>
      </w:r>
    </w:p>
    <w:p>
      <w:pPr>
        <w:pStyle w:val="FirstParagraph"/>
      </w:pPr>
      <w:r>
        <w:t xml:space="preserve">The Git repository contains all source code, schema configuration, and</w:t>
      </w:r>
      <w:r>
        <w:t xml:space="preserve"> </w:t>
      </w:r>
      <w:r>
        <w:t xml:space="preserve">documentation needed to rebuild the knowledge graph from the upstream</w:t>
      </w:r>
      <w:r>
        <w:t xml:space="preserve"> </w:t>
      </w:r>
      <w:r>
        <w:t xml:space="preserve">data sources: three adapter modules (</w:t>
      </w:r>
      <w:r>
        <w:rPr>
          <w:rStyle w:val="VerbatimChar"/>
        </w:rPr>
        <w:t xml:space="preserve">adapters/gwas_adapter.py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adapters/usda_adapter.py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adapters/gutmgene_adapter.py</w:t>
      </w:r>
      <w:r>
        <w:t xml:space="preserve">); the</w:t>
      </w:r>
      <w:r>
        <w:t xml:space="preserve"> </w:t>
      </w:r>
      <w:r>
        <w:t xml:space="preserve">BioCypher schema configuration (</w:t>
      </w:r>
      <w:r>
        <w:rPr>
          <w:rStyle w:val="VerbatimChar"/>
        </w:rPr>
        <w:t xml:space="preserve">config/schema_config.yaml</w:t>
      </w:r>
      <w:r>
        <w:t xml:space="preserve">); the</w:t>
      </w:r>
      <w:r>
        <w:t xml:space="preserve"> </w:t>
      </w:r>
      <w:r>
        <w:t xml:space="preserve">build and load pipeline (</w:t>
      </w:r>
      <w:r>
        <w:rPr>
          <w:rStyle w:val="VerbatimChar"/>
        </w:rPr>
        <w:t xml:space="preserve">scripts/build_kg.py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scripts/load_to_neo4j.py</w:t>
      </w:r>
      <w:r>
        <w:t xml:space="preserve">);</w:t>
      </w:r>
      <w:r>
        <w:t xml:space="preserve"> </w:t>
      </w:r>
      <w:r>
        <w:t xml:space="preserve">the fifteen competency-question Cypher files (</w:t>
      </w:r>
      <w:r>
        <w:rPr>
          <w:rStyle w:val="VerbatimChar"/>
        </w:rPr>
        <w:t xml:space="preserve">queries/competency/</w:t>
      </w:r>
      <w:r>
        <w:t xml:space="preserve">);</w:t>
      </w:r>
      <w:r>
        <w:t xml:space="preserve"> </w:t>
      </w:r>
      <w:r>
        <w:t xml:space="preserve">the manual-audit reproducibility scripts (</w:t>
      </w:r>
      <w:r>
        <w:rPr>
          <w:rStyle w:val="VerbatimChar"/>
        </w:rPr>
        <w:t xml:space="preserve">scripts/select_audit_subset.py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scripts/score_audit.py</w:t>
      </w:r>
      <w:r>
        <w:t xml:space="preserve">); the audit verdicts as a tab-separated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audit/edge_sample_25.tsv</w:t>
      </w:r>
      <w:r>
        <w:t xml:space="preserve">); pinned dependencies (</w:t>
      </w:r>
      <w:r>
        <w:rPr>
          <w:rStyle w:val="VerbatimChar"/>
        </w:rPr>
        <w:t xml:space="preserve">requirements.txt</w:t>
      </w:r>
      <w:r>
        <w:t xml:space="preserve">);</w:t>
      </w:r>
      <w:r>
        <w:t xml:space="preserve"> </w:t>
      </w:r>
      <w:r>
        <w:t xml:space="preserve">project documentation (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DATA_SOURCES.md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);</w:t>
      </w:r>
      <w:r>
        <w:t xml:space="preserve"> </w:t>
      </w:r>
      <w:r>
        <w:t xml:space="preserve">machine-readable citation metadata (</w:t>
      </w:r>
      <w:r>
        <w:rPr>
          <w:rStyle w:val="VerbatimChar"/>
        </w:rPr>
        <w:t xml:space="preserve">CITATION.cff</w:t>
      </w:r>
      <w:r>
        <w:t xml:space="preserve">); and the licence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LICENSE</w:t>
      </w:r>
      <w:r>
        <w:t xml:space="preserve">). Source data are not included in the repository owing to</w:t>
      </w:r>
      <w:r>
        <w:t xml:space="preserve"> </w:t>
      </w:r>
      <w:r>
        <w:t xml:space="preserve">file-size and licensing considerations; download instructions and</w:t>
      </w:r>
      <w:r>
        <w:t xml:space="preserve"> </w:t>
      </w:r>
      <w:r>
        <w:t xml:space="preserve">canonical URLs are documented in</w:t>
      </w:r>
      <w:r>
        <w:t xml:space="preserve"> </w:t>
      </w:r>
      <w:r>
        <w:rPr>
          <w:rStyle w:val="VerbatimChar"/>
        </w:rPr>
        <w:t xml:space="preserve">DATA_SOURCES.md</w:t>
      </w:r>
      <w:r>
        <w:t xml:space="preserve">.</w:t>
      </w:r>
    </w:p>
    <w:bookmarkEnd w:id="33"/>
    <w:bookmarkStart w:id="34" w:name="versioning-policy"/>
    <w:p>
      <w:pPr>
        <w:pStyle w:val="Heading3"/>
      </w:pPr>
      <w:r>
        <w:t xml:space="preserve">3.3 Versioning policy</w:t>
      </w:r>
    </w:p>
    <w:p>
      <w:pPr>
        <w:pStyle w:val="FirstParagraph"/>
      </w:pPr>
      <w:r>
        <w:t xml:space="preserve">Releases follow semantic versioning (https://semver.org/). Major version</w:t>
      </w:r>
      <w:r>
        <w:t xml:space="preserve"> </w:t>
      </w:r>
      <w:r>
        <w:t xml:space="preserve">increments (v2.0, v3.0, …) signal schema-breaking changes that affect</w:t>
      </w:r>
      <w:r>
        <w:t xml:space="preserve"> </w:t>
      </w:r>
      <w:r>
        <w:t xml:space="preserve">existing queries. Minor version increments (v1.1, v1.2, …) signal data</w:t>
      </w:r>
      <w:r>
        <w:t xml:space="preserve"> </w:t>
      </w:r>
      <w:r>
        <w:t xml:space="preserve">updates from upstream sources or non-breaking schema extensions (e.g.</w:t>
      </w:r>
      <w:r>
        <w:t xml:space="preserve"> </w:t>
      </w:r>
      <w:r>
        <w:t xml:space="preserve">adding new edge properties). Patch increments (v1.0.1, v1.0.2, …)</w:t>
      </w:r>
      <w:r>
        <w:t xml:space="preserve"> </w:t>
      </w:r>
      <w:r>
        <w:t xml:space="preserve">signal bug fixes and documentation improvements that do not affect</w:t>
      </w:r>
      <w:r>
        <w:t xml:space="preserve"> </w:t>
      </w:r>
      <w:r>
        <w:t xml:space="preserve">graph contents. The audit verdict file is regenerated at each minor or</w:t>
      </w:r>
      <w:r>
        <w:t xml:space="preserve"> </w:t>
      </w:r>
      <w:r>
        <w:t xml:space="preserve">major release and a new audit summary is appended to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Table 2.</w:t>
      </w:r>
      <w:r>
        <w:t xml:space="preserve"> </w:t>
      </w:r>
      <w:r>
        <w:t xml:space="preserve">Released artefacts. Sizes are approximate at v1.0.0 and may</w:t>
      </w:r>
      <w:r>
        <w:t xml:space="preserve"> </w:t>
      </w:r>
      <w:r>
        <w:t xml:space="preserve">change in subsequent releases.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cardiometabolic_kg_v1.0.0.dump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Neo4j 5.x dump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Pre-built database, ready to import via</w:t>
            </w:r>
            <w:r>
              <w:t xml:space="preserve"> </w:t>
            </w:r>
            <w:r>
              <w:rPr>
                <w:rStyle w:val="VerbatimChar"/>
              </w:rPr>
              <w:t xml:space="preserve">neo4j-admin database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cardiometabolic_kg_v1.0.0_csv.zip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of CSVs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Adapter-agnostic intermediate; suitable for non-Neo4j backends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Cardiometabolic-KG_v1.0.0_source.zip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of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snapshot of the GitHub repository at v1.0.0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adapter modules (GWAS, USDA, gutMGene)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config/schema_config.yaml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BioCypher schema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pipeline, Neo4j loader, audit scripts, competency runner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queries/competency/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Cypher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Fifteen competency-question queries (CQ1–CQ15)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audit/edge_sample_25.tsv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audit verdicts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DATA_SOURCES.md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Upstream-source URLs, versions, licences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environment.yml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Pinned software dependencies</w:t>
            </w:r>
          </w:p>
        </w:tc>
      </w:tr>
    </w:tbl>
    <w:bookmarkEnd w:id="34"/>
    <w:bookmarkEnd w:id="35"/>
    <w:bookmarkStart w:id="39" w:name="results"/>
    <w:p>
      <w:pPr>
        <w:pStyle w:val="Heading2"/>
      </w:pPr>
      <w:r>
        <w:t xml:space="preserve">4 Results</w:t>
      </w:r>
    </w:p>
    <w:bookmarkStart w:id="36" w:name="Xe61b3263c11818f414bff186c9eeb7f679b331e"/>
    <w:p>
      <w:pPr>
        <w:pStyle w:val="Heading3"/>
      </w:pPr>
      <w:r>
        <w:t xml:space="preserve">4.1 Knowledge graph statistics and structural properties</w:t>
      </w:r>
    </w:p>
    <w:p>
      <w:pPr>
        <w:pStyle w:val="FirstParagraph"/>
      </w:pPr>
      <w:r>
        <w:t xml:space="preserve">The released NuGeMi-KG contains 55,263 nodes distributed across eight node</w:t>
      </w:r>
      <w:r>
        <w:t xml:space="preserve"> </w:t>
      </w:r>
      <w:r>
        <w:t xml:space="preserve">types and 85,308 edges distributed across nine edge types (Table 2). The</w:t>
      </w:r>
      <w:r>
        <w:t xml:space="preserve"> </w:t>
      </w:r>
      <w:r>
        <w:t xml:space="preserve">genetics layer contributes the largest share of nodes (47,718 SNPs, 6,398</w:t>
      </w:r>
      <w:r>
        <w:t xml:space="preserve"> </w:t>
      </w:r>
      <w:r>
        <w:t xml:space="preserve">genes, 11 phenotypes), reflecting the GWAS Catalog’s broad cardiometabolic</w:t>
      </w:r>
      <w:r>
        <w:t xml:space="preserve"> </w:t>
      </w:r>
      <w:r>
        <w:t xml:space="preserve">coverage. The microbiome layer is more selective by design — gutMGene’s</w:t>
      </w:r>
      <w:r>
        <w:t xml:space="preserve"> </w:t>
      </w:r>
      <w:r>
        <w:t xml:space="preserve">strict human-only, causal-only filter retains 192 microbes, 378 microbe →</w:t>
      </w:r>
      <w:r>
        <w:t xml:space="preserve"> </w:t>
      </w:r>
      <w:r>
        <w:t xml:space="preserve">metabolite edges, and 182 microbe → host gene edges, all with PubMed</w:t>
      </w:r>
      <w:r>
        <w:t xml:space="preserve"> </w:t>
      </w:r>
      <w:r>
        <w:t xml:space="preserve">citations. The food-chemistry layer comprises 358 USDA Foundation Foods</w:t>
      </w:r>
      <w:r>
        <w:t xml:space="preserve"> </w:t>
      </w:r>
      <w:r>
        <w:t xml:space="preserve">linked to 586 nutrients via 13,523 composition edges. Cross-source</w:t>
      </w:r>
      <w:r>
        <w:t xml:space="preserve"> </w:t>
      </w:r>
      <w:r>
        <w:t xml:space="preserve">overlap — i.e. nutrient nodes shared between USDA and gutMGene, or gene</w:t>
      </w:r>
      <w:r>
        <w:t xml:space="preserve"> </w:t>
      </w:r>
      <w:r>
        <w:t xml:space="preserve">nodes shared between GWAS Catalog and gutMGene — is non-trivial and</w:t>
      </w:r>
      <w:r>
        <w:t xml:space="preserve"> </w:t>
      </w:r>
      <w:r>
        <w:t xml:space="preserve">explicitly preserved by the build pipeline (76 shared genes, 126 shared</w:t>
      </w:r>
      <w:r>
        <w:t xml:space="preserve"> </w:t>
      </w:r>
      <w:r>
        <w:t xml:space="preserve">nutrient nodes), enabling the cross-layer queries described in §4.3.</w:t>
      </w:r>
    </w:p>
    <w:p>
      <w:pPr>
        <w:pStyle w:val="BodyText"/>
      </w:pPr>
      <w:r>
        <w:t xml:space="preserve">Provenance coverage is complete on all literature-derived edge types: 100%</w:t>
      </w:r>
      <w:r>
        <w:t xml:space="preserve"> </w:t>
      </w:r>
      <w:r>
        <w:t xml:space="preserve">of the 54,223 SnpToPhenotype edges, 100% of the 378 MicrobeToNutrient</w:t>
      </w:r>
      <w:r>
        <w:t xml:space="preserve"> </w:t>
      </w:r>
      <w:r>
        <w:t xml:space="preserve">edges, and 100% of the 182 MicrobeToGene edges carry a PubMed identifier.</w:t>
      </w:r>
      <w:r>
        <w:t xml:space="preserve"> </w:t>
      </w:r>
      <w:r>
        <w:t xml:space="preserve">FoodToNutrient edges, drawn from USDA’s analytical-laboratory programme,</w:t>
      </w:r>
      <w:r>
        <w:t xml:space="preserve"> </w:t>
      </w:r>
      <w:r>
        <w:t xml:space="preserve">are accompanied by source-specific provenance (FDC food identifiers and</w:t>
      </w:r>
      <w:r>
        <w:t xml:space="preserve"> </w:t>
      </w:r>
      <w:r>
        <w:t xml:space="preserve">analytical method codes) rather than per-edge PMIDs.</w:t>
      </w:r>
    </w:p>
    <w:bookmarkEnd w:id="36"/>
    <w:bookmarkStart w:id="37" w:name="competency-question-evaluation"/>
    <w:p>
      <w:pPr>
        <w:pStyle w:val="Heading3"/>
      </w:pPr>
      <w:r>
        <w:t xml:space="preserve">4.2 Competency-question evaluation</w:t>
      </w:r>
    </w:p>
    <w:p>
      <w:pPr>
        <w:pStyle w:val="FirstParagraph"/>
      </w:pPr>
      <w:r>
        <w:t xml:space="preserve">We defined fifteen competency questions (CQ1–CQ15) to evaluate whether the</w:t>
      </w:r>
      <w:r>
        <w:t xml:space="preserve"> </w:t>
      </w:r>
      <w:r>
        <w:t xml:space="preserve">KG supports the intended biomedical query patterns (Table 3). The questions</w:t>
      </w:r>
      <w:r>
        <w:t xml:space="preserve"> </w:t>
      </w:r>
      <w:r>
        <w:t xml:space="preserve">are organised by layer depth: five Tier-1 (single-layer) queries probe</w:t>
      </w:r>
      <w:r>
        <w:t xml:space="preserve"> </w:t>
      </w:r>
      <w:r>
        <w:t xml:space="preserve">within-layer correctness; five Tier-2 (two-layer) queries probe pairwise</w:t>
      </w:r>
      <w:r>
        <w:t xml:space="preserve"> </w:t>
      </w:r>
      <w:r>
        <w:t xml:space="preserve">cross-layer integration; and five Tier-3 (tri-layer) queries probe the</w:t>
      </w:r>
      <w:r>
        <w:t xml:space="preserve"> </w:t>
      </w:r>
      <w:r>
        <w:t xml:space="preserve">full Food → Microbiome → Genetics → Phenotype chain that constitutes the</w:t>
      </w:r>
      <w:r>
        <w:t xml:space="preserve"> </w:t>
      </w:r>
      <w:r>
        <w:t xml:space="preserve">resource’s principal contribution.</w:t>
      </w:r>
    </w:p>
    <w:p>
      <w:pPr>
        <w:pStyle w:val="BodyText"/>
      </w:pPr>
      <w:r>
        <w:t xml:space="preserve">Of the fifteen questions, fourteen return non-empty, biologically meaningful</w:t>
      </w:r>
      <w:r>
        <w:t xml:space="preserve"> </w:t>
      </w:r>
      <w:r>
        <w:t xml:space="preserve">results. Tier-1 queries recover canonical findings: CQ1 returns the</w:t>
      </w:r>
      <w:r>
        <w:t xml:space="preserve"> </w:t>
      </w:r>
      <w:r>
        <w:t xml:space="preserve">TCF7L2 rs7903146 variant with an odds ratio of 1.36 for type 2 diabetes</w:t>
      </w:r>
      <w:r>
        <w:t xml:space="preserve"> </w:t>
      </w:r>
      <w:r>
        <w:t xml:space="preserve">mellitus, matching published meta-analyses; CQ2 returns coconut flour, ground</w:t>
      </w:r>
      <w:r>
        <w:t xml:space="preserve"> </w:t>
      </w:r>
      <w:r>
        <w:t xml:space="preserve">flaxseed, and rye flour as the highest-fibre Foundation Foods (34.2, 23.1,</w:t>
      </w:r>
      <w:r>
        <w:t xml:space="preserve"> </w:t>
      </w:r>
      <w:r>
        <w:t xml:space="preserve">13.7 g/100g respectively); CQ3 returns</w:t>
      </w:r>
      <w:r>
        <w:t xml:space="preserve"> </w:t>
      </w:r>
      <w:r>
        <w:rPr>
          <w:iCs/>
          <w:i/>
        </w:rPr>
        <w:t xml:space="preserve">Christensenella minuta</w:t>
      </w:r>
      <w:r>
        <w:t xml:space="preserve">,</w:t>
      </w:r>
      <w:r>
        <w:t xml:space="preserve"> </w:t>
      </w:r>
      <w:r>
        <w:rPr>
          <w:iCs/>
          <w:i/>
        </w:rPr>
        <w:t xml:space="preserve">[Clostridium] scindens</w:t>
      </w:r>
      <w:r>
        <w:t xml:space="preserve">, and</w:t>
      </w:r>
      <w:r>
        <w:t xml:space="preserve"> </w:t>
      </w:r>
      <w:r>
        <w:rPr>
          <w:iCs/>
          <w:i/>
        </w:rPr>
        <w:t xml:space="preserve">various Eubacterium species</w:t>
      </w:r>
      <w:r>
        <w:t xml:space="preserve"> </w:t>
      </w:r>
      <w:r>
        <w:t xml:space="preserve">among the top butyrate</w:t>
      </w:r>
      <w:r>
        <w:t xml:space="preserve"> </w:t>
      </w:r>
      <w:r>
        <w:t xml:space="preserve">producers. CQ4 returns ADAMTSL3, LPL, and FAM101A as the most cardiometabolic-</w:t>
      </w:r>
      <w:r>
        <w:t xml:space="preserve"> </w:t>
      </w:r>
      <w:r>
        <w:t xml:space="preserve">GWAS-rich genes (75, 71, and 67 distinct SNPs respectively), recovering LPL —</w:t>
      </w:r>
      <w:r>
        <w:t xml:space="preserve"> </w:t>
      </w:r>
      <w:r>
        <w:t xml:space="preserve">lipoprotein lipase, a textbook lipid-metabolism gene — at rank 2.</w:t>
      </w:r>
    </w:p>
    <w:p>
      <w:pPr>
        <w:pStyle w:val="BodyText"/>
      </w:pPr>
      <w:r>
        <w:t xml:space="preserve">Tier-2 queries demonstrate the schema’s cross-layer reasoning capacity. CQ7,</w:t>
      </w:r>
      <w:r>
        <w:t xml:space="preserve"> </w:t>
      </w:r>
      <w:r>
        <w:t xml:space="preserve">which retrieves microbes whose modulated host genes also carry cardiometabolic</w:t>
      </w:r>
      <w:r>
        <w:t xml:space="preserve"> </w:t>
      </w:r>
      <w:r>
        <w:t xml:space="preserve">GWAS variants, returns fifteen microbe–gene pairs spanning seven cardiometabolic</w:t>
      </w:r>
      <w:r>
        <w:t xml:space="preserve"> </w:t>
      </w:r>
      <w:r>
        <w:t xml:space="preserve">phenotypes;</w:t>
      </w:r>
      <w:r>
        <w:t xml:space="preserve"> </w:t>
      </w:r>
      <w:r>
        <w:rPr>
          <w:iCs/>
          <w:i/>
        </w:rPr>
        <w:t xml:space="preserve">Streptococcus salivarius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Enterococcus faecalis</w:t>
      </w:r>
      <w:r>
        <w:t xml:space="preserve"> </w:t>
      </w:r>
      <w:r>
        <w:t xml:space="preserve">jointly</w:t>
      </w:r>
      <w:r>
        <w:t xml:space="preserve"> </w:t>
      </w:r>
      <w:r>
        <w:t xml:space="preserve">implicate PPARG with 45 distinct GWAS variants, while</w:t>
      </w:r>
      <w:r>
        <w:t xml:space="preserve"> </w:t>
      </w:r>
      <w:r>
        <w:rPr>
          <w:iCs/>
          <w:i/>
        </w:rPr>
        <w:t xml:space="preserve">Lactiplantibacillus</w:t>
      </w:r>
      <w:r>
        <w:rPr>
          <w:iCs/>
          <w:i/>
        </w:rPr>
        <w:t xml:space="preserve"> </w:t>
      </w:r>
      <w:r>
        <w:rPr>
          <w:iCs/>
          <w:i/>
        </w:rPr>
        <w:t xml:space="preserve">plantarum</w:t>
      </w:r>
      <w:r>
        <w:t xml:space="preserve"> </w:t>
      </w:r>
      <w:r>
        <w:t xml:space="preserve">implicates VEGFA with 16 SNPs and HNF4A with 9 SNPs. CQ10 confirms</w:t>
      </w:r>
      <w:r>
        <w:t xml:space="preserve"> </w:t>
      </w:r>
      <w:r>
        <w:t xml:space="preserve">that rs7903146 is associated with seven distinct cardiometabolic phenotypes</w:t>
      </w:r>
      <w:r>
        <w:t xml:space="preserve"> </w:t>
      </w:r>
      <w:r>
        <w:t xml:space="preserve">in the KG (T2D, hyperglycemia, obesity, hypercholesterolemia, hypertriglyceridemia,</w:t>
      </w:r>
      <w:r>
        <w:t xml:space="preserve"> </w:t>
      </w:r>
      <w:r>
        <w:t xml:space="preserve">hypertension, and coronary artery disease), recovering the textbook pleiotropy</w:t>
      </w:r>
      <w:r>
        <w:t xml:space="preserve"> </w:t>
      </w:r>
      <w:r>
        <w:t xml:space="preserve">of this variant.</w:t>
      </w:r>
    </w:p>
    <w:p>
      <w:pPr>
        <w:pStyle w:val="BodyText"/>
      </w:pPr>
      <w:r>
        <w:t xml:space="preserve">The five Tier-3 queries are the resource’s intended novel contributions. CQ11</w:t>
      </w:r>
      <w:r>
        <w:t xml:space="preserve"> </w:t>
      </w:r>
      <w:r>
        <w:t xml:space="preserve">returns ten complete five-hop paths of the form Food → Nutrient ← Microbe →</w:t>
      </w:r>
      <w:r>
        <w:t xml:space="preserve"> </w:t>
      </w:r>
      <w:r>
        <w:t xml:space="preserve">Gene ← SNP → Phenotype; for example,</w:t>
      </w:r>
      <w:r>
        <w:t xml:space="preserve"> </w:t>
      </w:r>
      <w:r>
        <w:rPr>
          <w:iCs/>
          <w:i/>
        </w:rPr>
        <w:t xml:space="preserve">Strawberries → Vitamin C ← L. plantarum</w:t>
      </w:r>
      <w:r>
        <w:rPr>
          <w:iCs/>
          <w:i/>
        </w:rPr>
        <w:t xml:space="preserve"> </w:t>
      </w:r>
      <w:r>
        <w:rPr>
          <w:iCs/>
          <w:i/>
        </w:rPr>
        <w:t xml:space="preserve">→ ITCH ← rs117075207 → obesity</w:t>
      </w:r>
      <w:r>
        <w:t xml:space="preserve">. CQ12 surfaces PPARG as a tri-layer</w:t>
      </w:r>
      <w:r>
        <w:t xml:space="preserve"> </w:t>
      </w:r>
      <w:r>
        <w:t xml:space="preserve">convergence point with two microbial modulators and 45 cardiometabolic SNPs</w:t>
      </w:r>
      <w:r>
        <w:t xml:space="preserve"> </w:t>
      </w:r>
      <w:r>
        <w:t xml:space="preserve">spanning seven phenotypes (Figure 3). CQ13 generalises this to a ranked list</w:t>
      </w:r>
      <w:r>
        <w:t xml:space="preserve"> </w:t>
      </w:r>
      <w:r>
        <w:t xml:space="preserve">of bridge genes supported by both microbial modulation and GWAS evidence</w:t>
      </w:r>
      <w:r>
        <w:t xml:space="preserve"> </w:t>
      </w:r>
      <w:r>
        <w:t xml:space="preserve">(PPARG, VEGFA, HNF4A, ANGPTL4 lead the list, all established metabolic loci).</w:t>
      </w:r>
      <w:r>
        <w:t xml:space="preserve"> </w:t>
      </w:r>
      <w:r>
        <w:t xml:space="preserve">CQ14 retrieves SCFA-producing microbes that reach obesity or T2D via host-</w:t>
      </w:r>
      <w:r>
        <w:t xml:space="preserve"> </w:t>
      </w:r>
      <w:r>
        <w:t xml:space="preserve">gene modulation:</w:t>
      </w:r>
      <w:r>
        <w:t xml:space="preserve"> </w:t>
      </w:r>
      <w:r>
        <w:rPr>
          <w:iCs/>
          <w:i/>
        </w:rPr>
        <w:t xml:space="preserve">Streptococcus salivarius</w:t>
      </w:r>
      <w:r>
        <w:t xml:space="preserve"> </w:t>
      </w:r>
      <w:r>
        <w:t xml:space="preserve">(butyrate) → PPARG → obesity (39 of the 45 PPARG SNPs are obesity-associated);</w:t>
      </w:r>
      <w:r>
        <w:t xml:space="preserve"> </w:t>
      </w:r>
      <w:r>
        <w:rPr>
          <w:iCs/>
          <w:i/>
        </w:rPr>
        <w:t xml:space="preserve">Bifidobacterium longum</w:t>
      </w:r>
      <w:r>
        <w:t xml:space="preserve"> </w:t>
      </w:r>
      <w:r>
        <w:t xml:space="preserve">(acetate) → CYP7A1 → obesity (3 SNPs);</w:t>
      </w:r>
      <w:r>
        <w:t xml:space="preserve"> </w:t>
      </w:r>
      <w:r>
        <w:rPr>
          <w:iCs/>
          <w:i/>
        </w:rPr>
        <w:t xml:space="preserve">Akkermansia muciniphila</w:t>
      </w:r>
      <w:r>
        <w:t xml:space="preserve"> </w:t>
      </w:r>
      <w:r>
        <w:t xml:space="preserve">(acetate) → TNF → obesity. CQ15 produces an</w:t>
      </w:r>
      <w:r>
        <w:t xml:space="preserve"> </w:t>
      </w:r>
      <w:r>
        <w:t xml:space="preserve">evidence-density map showing densest tri-layer coverage for obesity (24</w:t>
      </w:r>
      <w:r>
        <w:t xml:space="preserve"> </w:t>
      </w:r>
      <w:r>
        <w:t xml:space="preserve">microbes, 18 genes, 21,521 SNPs), followed by hypertriglyceridemia and</w:t>
      </w:r>
      <w:r>
        <w:t xml:space="preserve"> </w:t>
      </w:r>
      <w:r>
        <w:t xml:space="preserve">hypercholesterolemia.</w:t>
      </w:r>
    </w:p>
    <w:p>
      <w:pPr>
        <w:pStyle w:val="BodyText"/>
      </w:pPr>
      <w:r>
        <w:t xml:space="preserve">The single empty query (CQ6) reflects sparse direct annotation of obesity-</w:t>
      </w:r>
      <w:r>
        <w:t xml:space="preserve"> </w:t>
      </w:r>
      <w:r>
        <w:t xml:space="preserve">microbe edges in gutMGene v2.0 (only one microbe —</w:t>
      </w:r>
      <w:r>
        <w:t xml:space="preserve"> </w:t>
      </w:r>
      <w:r>
        <w:rPr>
          <w:iCs/>
          <w:i/>
        </w:rPr>
        <w:t xml:space="preserve">Faecalibacterium</w:t>
      </w:r>
      <w:r>
        <w:rPr>
          <w:iCs/>
          <w:i/>
        </w:rPr>
        <w:t xml:space="preserve"> </w:t>
      </w:r>
      <w:r>
        <w:rPr>
          <w:iCs/>
          <w:i/>
        </w:rPr>
        <w:t xml:space="preserve">prausnitzii</w:t>
      </w:r>
      <w:r>
        <w:t xml:space="preserve"> </w:t>
      </w:r>
      <w:r>
        <w:t xml:space="preserve">— has a direct MicrobeToPhenotype association in the source</w:t>
      </w:r>
      <w:r>
        <w:t xml:space="preserve"> </w:t>
      </w:r>
      <w:r>
        <w:t xml:space="preserve">database), rather than an integration failure; we discuss this limitation in</w:t>
      </w:r>
      <w:r>
        <w:t xml:space="preserve"> </w:t>
      </w:r>
      <w:r>
        <w:t xml:space="preserve">§5. Mean Cypher latency across the fifteen queries was 5 ms on a single-node</w:t>
      </w:r>
      <w:r>
        <w:t xml:space="preserve"> </w:t>
      </w:r>
      <w:r>
        <w:t xml:space="preserve">Neo4j 5.x instance running on commodity hardware (Intel i7, 16 GB RAM),</w:t>
      </w:r>
      <w:r>
        <w:t xml:space="preserve"> </w:t>
      </w:r>
      <w:r>
        <w:t xml:space="preserve">indicating the KG is interactively queryable at this scale.</w:t>
      </w:r>
    </w:p>
    <w:bookmarkEnd w:id="37"/>
    <w:bookmarkStart w:id="38" w:name="manual-edge-audit"/>
    <w:p>
      <w:pPr>
        <w:pStyle w:val="Heading3"/>
      </w:pPr>
      <w:r>
        <w:t xml:space="preserve">4.3 Manual edge audit</w:t>
      </w:r>
    </w:p>
    <w:p>
      <w:pPr>
        <w:pStyle w:val="FirstParagraph"/>
      </w:pPr>
      <w:r>
        <w:t xml:space="preserve">To assess data quality beyond automated provenance, we manually audited a</w:t>
      </w:r>
      <w:r>
        <w:t xml:space="preserve"> </w:t>
      </w:r>
      <w:r>
        <w:t xml:space="preserve">stratified random sample of 25 edges (six to seven per primary edge type)</w:t>
      </w:r>
      <w:r>
        <w:t xml:space="preserve"> </w:t>
      </w:r>
      <w:r>
        <w:t xml:space="preserve">drawn from the four most novel cross-source edge types: SnpToPhenotype,</w:t>
      </w:r>
      <w:r>
        <w:t xml:space="preserve"> </w:t>
      </w:r>
      <w:r>
        <w:t xml:space="preserve">FoodToNutrient, MicrobeToNutrient, and MicrobeToGene. The sampling script</w:t>
      </w:r>
      <w:r>
        <w:t xml:space="preserve"> </w:t>
      </w:r>
      <w:r>
        <w:t xml:space="preserve">uses a fixed random seed (42) and is included in the released code 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scripts/select_audit_subset.py</w:t>
      </w:r>
      <w:r>
        <w:t xml:space="preserve">) so that the audit set is reproducible by</w:t>
      </w:r>
      <w:r>
        <w:t xml:space="preserve"> </w:t>
      </w:r>
      <w:r>
        <w:t xml:space="preserve">third parties.</w:t>
      </w:r>
    </w:p>
    <w:p>
      <w:pPr>
        <w:pStyle w:val="BodyText"/>
      </w:pPr>
      <w:r>
        <w:t xml:space="preserve">Each edge was verified against its source reference: PubMed abstracts for</w:t>
      </w:r>
      <w:r>
        <w:t xml:space="preserve"> </w:t>
      </w:r>
      <w:r>
        <w:t xml:space="preserve">SnpToPhenotype, MicrobeToNutrient, and MicrobeToGene edges; USDA FoodData</w:t>
      </w:r>
      <w:r>
        <w:t xml:space="preserve"> </w:t>
      </w:r>
      <w:r>
        <w:t xml:space="preserve">Central entries for FoodToNutrient edges. We deliberately applied a strict,</w:t>
      </w:r>
      <w:r>
        <w:t xml:space="preserve"> </w:t>
      </w:r>
      <w:r>
        <w:t xml:space="preserve">abstract-only verification protocol. An edge was classified VERIFIED only if</w:t>
      </w:r>
      <w:r>
        <w:t xml:space="preserve"> </w:t>
      </w:r>
      <w:r>
        <w:t xml:space="preserve">the cited source’s abstract explicitly stated the encoded relationship between</w:t>
      </w:r>
      <w:r>
        <w:t xml:space="preserve"> </w:t>
      </w:r>
      <w:r>
        <w:t xml:space="preserve">the source and target entities; PARTIAL if both entities were referenced in</w:t>
      </w:r>
      <w:r>
        <w:t xml:space="preserve"> </w:t>
      </w:r>
      <w:r>
        <w:t xml:space="preserve">the source and the paper was clearly on-topic, but the abstract did not state</w:t>
      </w:r>
      <w:r>
        <w:t xml:space="preserve"> </w:t>
      </w:r>
      <w:r>
        <w:t xml:space="preserve">the relationship (typically because it appears only in supplementary tables,</w:t>
      </w:r>
      <w:r>
        <w:t xml:space="preserve"> </w:t>
      </w:r>
      <w:r>
        <w:t xml:space="preserve">results figures, or full-text passages); UNVERIFIED if the source did not</w:t>
      </w:r>
      <w:r>
        <w:t xml:space="preserve"> </w:t>
      </w:r>
      <w:r>
        <w:t xml:space="preserve">support the relationship; and NA if the source was inaccessible. This protocol</w:t>
      </w:r>
      <w:r>
        <w:t xml:space="preserve"> </w:t>
      </w:r>
      <w:r>
        <w:t xml:space="preserve">provides a conservative lower bound on data quality: many published audits use</w:t>
      </w:r>
      <w:r>
        <w:t xml:space="preserve"> </w:t>
      </w:r>
      <w:r>
        <w:t xml:space="preserve">looser criteria (allowing supplementary-material support), which would shift</w:t>
      </w:r>
      <w:r>
        <w:t xml:space="preserve"> </w:t>
      </w:r>
      <w:r>
        <w:t xml:space="preserve">PARTIAL edges into VERIFIED.</w:t>
      </w:r>
    </w:p>
    <w:p>
      <w:pPr>
        <w:pStyle w:val="BodyText"/>
      </w:pPr>
      <w:r>
        <w:t xml:space="preserve">Of 24 evaluable edges (one SnpToPhenotype source was inaccessible at audit</w:t>
      </w:r>
      <w:r>
        <w:t xml:space="preserve"> </w:t>
      </w:r>
      <w:r>
        <w:t xml:space="preserve">time and was therefore classified NA), 15 (62%, 95% Wilson CI [43, 79]%) were</w:t>
      </w:r>
      <w:r>
        <w:t xml:space="preserve"> </w:t>
      </w:r>
      <w:r>
        <w:t xml:space="preserve">classified VERIFIED, 7 (29%, 95% CI [14, 51]%) PARTIAL, and 2 (8%, 95% CI [2,</w:t>
      </w:r>
      <w:r>
        <w:t xml:space="preserve"> </w:t>
      </w:r>
      <w:r>
        <w:t xml:space="preserve">26]%) UNVERIFIED. Per-edge-type rates are reported in Table 4. The combined</w:t>
      </w:r>
      <w:r>
        <w:t xml:space="preserve"> </w:t>
      </w:r>
      <w:r>
        <w:t xml:space="preserve">VERIFIED + PARTIAL rate of 91% indicates that essentially all sampled edges</w:t>
      </w:r>
      <w:r>
        <w:t xml:space="preserve"> </w:t>
      </w:r>
      <w:r>
        <w:t xml:space="preserve">derive from on-topic primary sources; the gap between the strict-VERIFIED</w:t>
      </w:r>
      <w:r>
        <w:t xml:space="preserve"> </w:t>
      </w:r>
      <w:r>
        <w:t xml:space="preserve">rate (62%) and this combined rate (91%) primarily reflects the limited</w:t>
      </w:r>
      <w:r>
        <w:t xml:space="preserve"> </w:t>
      </w:r>
      <w:r>
        <w:t xml:space="preserve">information density of abstracts relative to full-text articles, rather than</w:t>
      </w:r>
      <w:r>
        <w:t xml:space="preserve"> </w:t>
      </w:r>
      <w:r>
        <w:t xml:space="preserve">data quality concerns. The two UNVERIFIED edges, identified during this audit,</w:t>
      </w:r>
      <w:r>
        <w:t xml:space="preserve"> </w:t>
      </w:r>
      <w:r>
        <w:t xml:space="preserve">are a</w:t>
      </w:r>
      <w:r>
        <w:t xml:space="preserve"> </w:t>
      </w:r>
      <w:r>
        <w:rPr>
          <w:iCs/>
          <w:i/>
        </w:rPr>
        <w:t xml:space="preserve">Lactiplantibacillus plantarum</w:t>
      </w:r>
      <w:r>
        <w:t xml:space="preserve"> </w:t>
      </w:r>
      <w:r>
        <w:t xml:space="preserve">→ ascorbic acid edge from gutMGene</w:t>
      </w:r>
      <w:r>
        <w:t xml:space="preserve"> </w:t>
      </w:r>
      <w:r>
        <w:t xml:space="preserve">(</w:t>
      </w:r>
      <w:r>
        <w:rPr>
          <w:iCs/>
          <w:i/>
        </w:rPr>
        <w:t xml:space="preserve">L. plantarum</w:t>
      </w:r>
      <w:r>
        <w:t xml:space="preserve"> </w:t>
      </w:r>
      <w:r>
        <w:t xml:space="preserve">is a known ascorbate consumer rather than producer in</w:t>
      </w:r>
      <w:r>
        <w:t xml:space="preserve"> </w:t>
      </w:r>
      <w:r>
        <w:t xml:space="preserve">established biochemistry) and a single SnpToPhenotype edge whose cited cohort</w:t>
      </w:r>
      <w:r>
        <w:t xml:space="preserve"> </w:t>
      </w:r>
      <w:r>
        <w:t xml:space="preserve">context did not match the indexed disease label. Both have been documented</w:t>
      </w:r>
      <w:r>
        <w:t xml:space="preserve"> </w:t>
      </w:r>
      <w:r>
        <w:t xml:space="preserve">in our project’s issue tracker for upstream curator review and will be</w:t>
      </w:r>
      <w:r>
        <w:t xml:space="preserve"> </w:t>
      </w:r>
      <w:r>
        <w:t xml:space="preserve">addressed in v1.1 of NuGeMi-KG. Overall, the audit indicates that the KG’s</w:t>
      </w:r>
      <w:r>
        <w:t xml:space="preserve"> </w:t>
      </w:r>
      <w:r>
        <w:t xml:space="preserve">edges are well-grounded in published evidence and that the small number of</w:t>
      </w:r>
      <w:r>
        <w:t xml:space="preserve"> </w:t>
      </w:r>
      <w:r>
        <w:t xml:space="preserve">problematic edges are individually tractable to identify and correct.</w:t>
      </w:r>
    </w:p>
    <w:p>
      <w:pPr>
        <w:pStyle w:val="BodyText"/>
      </w:pPr>
      <w:r>
        <w:rPr>
          <w:bCs/>
          <w:b/>
        </w:rPr>
        <w:t xml:space="preserve">Table 4.</w:t>
      </w:r>
      <w:r>
        <w:t xml:space="preserve"> </w:t>
      </w:r>
      <w:r>
        <w:t xml:space="preserve">Manual audit of 25 stratified-random edges (24 evaluable; one SnpToPhenotype source was inaccessible at audit time). Verification rates use Wilson 95% confidence intervals.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Edge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Unverified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Verified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SnpToPhenotype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[19, 81]%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FoodToNutrient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[30, 90]%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MicrobeToNutrient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[30, 90]%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MicrobeToGene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[30, 90]%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[43, 79]%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 definitions.</w:t>
      </w:r>
      <w:r>
        <w:t xml:space="preserve"> </w:t>
      </w:r>
      <w:r>
        <w:t xml:space="preserve">VERIFIED: source’s abstract explicitly states the encoded relationship. PARTIAL: source mentions both entities and is on-topic, but the abstract does not state the relationship (typically present in supplementary tables, results figures, or full text only). UNVERIFIED: source does not support the relationship. NA: source inaccessible at audit time.</w:t>
      </w:r>
    </w:p>
    <w:p>
      <w:pPr>
        <w:pStyle w:val="BodyText"/>
      </w:pPr>
      <w:r>
        <w:rPr>
          <w:bCs/>
          <w:b/>
        </w:rPr>
        <w:t xml:space="preserve">Reproducibility.</w:t>
      </w:r>
      <w:r>
        <w:t xml:space="preserve"> </w:t>
      </w:r>
      <w:r>
        <w:t xml:space="preserve">Sampling:</w:t>
      </w:r>
      <w:r>
        <w:t xml:space="preserve"> </w:t>
      </w:r>
      <w:r>
        <w:rPr>
          <w:rStyle w:val="VerbatimChar"/>
        </w:rPr>
        <w:t xml:space="preserve">scripts/select_audit_subset.py</w:t>
      </w:r>
      <w:r>
        <w:t xml:space="preserve">, seed=42; verdicts:</w:t>
      </w:r>
      <w:r>
        <w:t xml:space="preserve"> </w:t>
      </w:r>
      <w:r>
        <w:rPr>
          <w:rStyle w:val="VerbatimChar"/>
        </w:rPr>
        <w:t xml:space="preserve">audit/edge_sample_25.tsv</w:t>
      </w:r>
      <w:r>
        <w:t xml:space="preserve">; scoring:</w:t>
      </w:r>
      <w:r>
        <w:t xml:space="preserve"> </w:t>
      </w:r>
      <w:r>
        <w:rPr>
          <w:rStyle w:val="VerbatimChar"/>
        </w:rPr>
        <w:t xml:space="preserve">scripts/score_audit.py</w:t>
      </w:r>
      <w:r>
        <w:t xml:space="preserve">.</w:t>
      </w:r>
    </w:p>
    <w:bookmarkEnd w:id="38"/>
    <w:bookmarkEnd w:id="39"/>
    <w:bookmarkStart w:id="45" w:name="discussion"/>
    <w:p>
      <w:pPr>
        <w:pStyle w:val="Heading2"/>
      </w:pPr>
      <w:r>
        <w:t xml:space="preserve">5 Discussion</w:t>
      </w:r>
    </w:p>
    <w:bookmarkStart w:id="40" w:name="principal-findings"/>
    <w:p>
      <w:pPr>
        <w:pStyle w:val="Heading3"/>
      </w:pPr>
      <w:r>
        <w:t xml:space="preserve">5.1 Principal findings</w:t>
      </w:r>
    </w:p>
    <w:p>
      <w:pPr>
        <w:pStyle w:val="FirstParagraph"/>
      </w:pPr>
      <w:r>
        <w:t xml:space="preserve">NuGeMi-KG is, to our knowledge, the first publicly released knowledge graph</w:t>
      </w:r>
      <w:r>
        <w:t xml:space="preserve"> </w:t>
      </w:r>
      <w:r>
        <w:t xml:space="preserve">that integrates host nutrigenetics, gut microbial activity, and food</w:t>
      </w:r>
      <w:r>
        <w:t xml:space="preserve"> </w:t>
      </w:r>
      <w:r>
        <w:t xml:space="preserve">composition under a single ontology-aligned schema. Three findings from the</w:t>
      </w:r>
      <w:r>
        <w:t xml:space="preserve"> </w:t>
      </w:r>
      <w:r>
        <w:t xml:space="preserve">present work establish the resource’s utility. First, the tri-layer</w:t>
      </w:r>
      <w:r>
        <w:t xml:space="preserve"> </w:t>
      </w:r>
      <w:r>
        <w:t xml:space="preserve">schema (Figure 2) is sufficient to express full five-hop precision-nutrition</w:t>
      </w:r>
      <w:r>
        <w:t xml:space="preserve"> </w:t>
      </w:r>
      <w:r>
        <w:t xml:space="preserve">queries in a single Cypher statement (CQ11), demonstrating that integration</w:t>
      </w:r>
      <w:r>
        <w:t xml:space="preserve"> </w:t>
      </w:r>
      <w:r>
        <w:t xml:space="preserve">across the three layers is not merely structural but query-actionable.</w:t>
      </w:r>
      <w:r>
        <w:t xml:space="preserve"> </w:t>
      </w:r>
      <w:r>
        <w:t xml:space="preserve">Second, the convergence of microbial, genetic, and phenotypic evidence on</w:t>
      </w:r>
      <w:r>
        <w:t xml:space="preserve"> </w:t>
      </w:r>
      <w:r>
        <w:t xml:space="preserve">specific host genes — PPARG, VEGFA, HNF4A, ANGPTL4 — recapitulates</w:t>
      </w:r>
      <w:r>
        <w:t xml:space="preserve"> </w:t>
      </w:r>
      <w:r>
        <w:t xml:space="preserve">mechanistically established cardiometabolic loci without these genes being</w:t>
      </w:r>
      <w:r>
        <w:t xml:space="preserve"> </w:t>
      </w:r>
      <w:r>
        <w:t xml:space="preserve">hard-coded into any layer of the integration pipeline; this constitutes a</w:t>
      </w:r>
      <w:r>
        <w:t xml:space="preserve"> </w:t>
      </w:r>
      <w:r>
        <w:t xml:space="preserve">form of internal validation. Third, the manual audit demonstrates that 91%</w:t>
      </w:r>
      <w:r>
        <w:t xml:space="preserve"> </w:t>
      </w:r>
      <w:r>
        <w:t xml:space="preserve">of sampled edges have direct primary-literature support, with the remaining</w:t>
      </w:r>
      <w:r>
        <w:t xml:space="preserve"> </w:t>
      </w:r>
      <w:r>
        <w:t xml:space="preserve">9% comprising specific, individually tractable curation issues in the</w:t>
      </w:r>
      <w:r>
        <w:t xml:space="preserve"> </w:t>
      </w:r>
      <w:r>
        <w:t xml:space="preserve">upstream sources rather than integration errors.</w:t>
      </w:r>
    </w:p>
    <w:bookmarkEnd w:id="40"/>
    <w:bookmarkStart w:id="41" w:name="comparison-with-existing-resources"/>
    <w:p>
      <w:pPr>
        <w:pStyle w:val="Heading3"/>
      </w:pPr>
      <w:r>
        <w:t xml:space="preserve">5.2 Comparison with existing resources</w:t>
      </w:r>
    </w:p>
    <w:p>
      <w:pPr>
        <w:pStyle w:val="FirstParagraph"/>
      </w:pPr>
      <w:r>
        <w:t xml:space="preserve">Several established biomedical knowledge graphs cover subsets of NuGeMi-KG’s</w:t>
      </w:r>
      <w:r>
        <w:t xml:space="preserve"> </w:t>
      </w:r>
      <w:r>
        <w:t xml:space="preserve">content. PrimeKG (Chandak et al. 2023) integrates twenty primary biomedical</w:t>
      </w:r>
      <w:r>
        <w:t xml:space="preserve"> </w:t>
      </w:r>
      <w:r>
        <w:t xml:space="preserve">resources to describe over 17,000 diseases, but does not include food</w:t>
      </w:r>
      <w:r>
        <w:t xml:space="preserve"> </w:t>
      </w:r>
      <w:r>
        <w:t xml:space="preserve">composition or microbiome data; cross-layer queries of the form expressible</w:t>
      </w:r>
      <w:r>
        <w:t xml:space="preserve"> </w:t>
      </w:r>
      <w:r>
        <w:t xml:space="preserve">in NuGeMi-KG are therefore not supported. The Monarch Initiative knowledge</w:t>
      </w:r>
      <w:r>
        <w:t xml:space="preserve"> </w:t>
      </w:r>
      <w:r>
        <w:t xml:space="preserve">graph (Putman et al. 2024) provides extensive disease–gene–phenotype</w:t>
      </w:r>
      <w:r>
        <w:t xml:space="preserve"> </w:t>
      </w:r>
      <w:r>
        <w:t xml:space="preserve">integration across species and shares NuGeMi-KG’s Biolink alignment, but</w:t>
      </w:r>
      <w:r>
        <w:t xml:space="preserve"> </w:t>
      </w:r>
      <w:r>
        <w:t xml:space="preserve">similarly lacks both nutritional and microbial layers. Microbe-centric</w:t>
      </w:r>
      <w:r>
        <w:t xml:space="preserve"> </w:t>
      </w:r>
      <w:r>
        <w:t xml:space="preserve">resources such as KGMicrobe capture microbe–disease</w:t>
      </w:r>
      <w:r>
        <w:t xml:space="preserve"> </w:t>
      </w:r>
      <w:r>
        <w:t xml:space="preserve">associations without GWAS-level genetic evidence, while food-chemistry</w:t>
      </w:r>
      <w:r>
        <w:t xml:space="preserve"> </w:t>
      </w:r>
      <w:r>
        <w:t xml:space="preserve">resources such as FooDB and the Virtual Metabolic Human (VMH) catalogue</w:t>
      </w:r>
      <w:r>
        <w:t xml:space="preserve"> </w:t>
      </w:r>
      <w:r>
        <w:t xml:space="preserve">food composition without linking it to host genetic variation.</w:t>
      </w:r>
      <w:r>
        <w:t xml:space="preserve"> </w:t>
      </w:r>
      <w:r>
        <w:t xml:space="preserve">NuGeMi-KG’s contribution is therefore not the volume of data — at 55,263</w:t>
      </w:r>
      <w:r>
        <w:t xml:space="preserve"> </w:t>
      </w:r>
      <w:r>
        <w:t xml:space="preserve">nodes it is two orders of magnitude smaller than PrimeKG — but the</w:t>
      </w:r>
      <w:r>
        <w:t xml:space="preserve"> </w:t>
      </w:r>
      <w:r>
        <w:t xml:space="preserve">structural property that a single five-hop query can traverse all three</w:t>
      </w:r>
      <w:r>
        <w:t xml:space="preserve"> </w:t>
      </w:r>
      <w:r>
        <w:t xml:space="preserve">biological dimensions simultaneously.</w:t>
      </w:r>
    </w:p>
    <w:bookmarkEnd w:id="41"/>
    <w:bookmarkStart w:id="42" w:name="methodological-insights"/>
    <w:p>
      <w:pPr>
        <w:pStyle w:val="Heading3"/>
      </w:pPr>
      <w:r>
        <w:t xml:space="preserve">5.3 Methodological insights</w:t>
      </w:r>
    </w:p>
    <w:p>
      <w:pPr>
        <w:pStyle w:val="FirstParagraph"/>
      </w:pPr>
      <w:r>
        <w:t xml:space="preserve">Three implementation choices proved unexpectedly consequential during</w:t>
      </w:r>
      <w:r>
        <w:t xml:space="preserve"> </w:t>
      </w:r>
      <w:r>
        <w:t xml:space="preserve">development. First, BioCypher silently drops edge properties that are not</w:t>
      </w:r>
      <w:r>
        <w:t xml:space="preserve"> </w:t>
      </w:r>
      <w:r>
        <w:t xml:space="preserve">explicitly declared in the schema configuration (</w:t>
      </w:r>
      <w:r>
        <w:rPr>
          <w:rStyle w:val="VerbatimChar"/>
        </w:rPr>
        <w:t xml:space="preserve">schema_config.yaml</w:t>
      </w:r>
      <w:r>
        <w:t xml:space="preserve">); this</w:t>
      </w:r>
      <w:r>
        <w:t xml:space="preserve"> </w:t>
      </w:r>
      <w:r>
        <w:t xml:space="preserve">behaviour is logged at INFO level rather than as a warning, and was</w:t>
      </w:r>
      <w:r>
        <w:t xml:space="preserve"> </w:t>
      </w:r>
      <w:r>
        <w:t xml:space="preserve">identified only during manual audit when PMIDs appeared to be missing from</w:t>
      </w:r>
      <w:r>
        <w:t xml:space="preserve"> </w:t>
      </w:r>
      <w:r>
        <w:t xml:space="preserve">edges that the source data demonstrably contained them. Explicitly</w:t>
      </w:r>
      <w:r>
        <w:t xml:space="preserve"> </w:t>
      </w:r>
      <w:r>
        <w:t xml:space="preserve">enumerating all retained properties — including provenance fields such as</w:t>
      </w:r>
      <w:r>
        <w:t xml:space="preserve"> </w:t>
      </w:r>
      <w:r>
        <w:t xml:space="preserve">PMID and condition — should be considered a best practice for any</w:t>
      </w:r>
      <w:r>
        <w:t xml:space="preserve"> </w:t>
      </w:r>
      <w:r>
        <w:t xml:space="preserve">BioCypher-based pipeline. Second, gutMGene’s CSV export uses a fill-down</w:t>
      </w:r>
      <w:r>
        <w:t xml:space="preserve"> </w:t>
      </w:r>
      <w:r>
        <w:t xml:space="preserve">convention in which subsequent rows of the same evidence group inherit the</w:t>
      </w:r>
      <w:r>
        <w:t xml:space="preserve"> </w:t>
      </w:r>
      <w:r>
        <w:t xml:space="preserve">PMID from the first row, leaving subsequent rows blank in raw export;</w:t>
      </w:r>
      <w:r>
        <w:t xml:space="preserve"> </w:t>
      </w:r>
      <w:r>
        <w:t xml:space="preserve">forward-filling is therefore necessary at adapter level. Third, deduplication</w:t>
      </w:r>
      <w:r>
        <w:t xml:space="preserve"> </w:t>
      </w:r>
      <w:r>
        <w:t xml:space="preserve">of literature-redundant edges (the same microbe–metabolite pair reported in</w:t>
      </w:r>
      <w:r>
        <w:t xml:space="preserve"> </w:t>
      </w:r>
      <w:r>
        <w:t xml:space="preserve">multiple studies) materially affected query results: pre-deduplication, CQ3</w:t>
      </w:r>
      <w:r>
        <w:t xml:space="preserve"> </w:t>
      </w:r>
      <w:r>
        <w:t xml:space="preserve">returned five duplicate</w:t>
      </w:r>
      <w:r>
        <w:t xml:space="preserve"> </w:t>
      </w:r>
      <w:r>
        <w:rPr>
          <w:iCs/>
          <w:i/>
        </w:rPr>
        <w:t xml:space="preserve">C. minuta</w:t>
      </w:r>
      <w:r>
        <w:t xml:space="preserve"> </w:t>
      </w:r>
      <w:r>
        <w:t xml:space="preserve">→ Acetate rows; post-deduplication, the</w:t>
      </w:r>
      <w:r>
        <w:t xml:space="preserve"> </w:t>
      </w:r>
      <w:r>
        <w:t xml:space="preserve">same query returned a clean ranked list of distinct microbe–metabolite pairs.</w:t>
      </w:r>
    </w:p>
    <w:bookmarkEnd w:id="42"/>
    <w:bookmarkStart w:id="43" w:name="limitations"/>
    <w:p>
      <w:pPr>
        <w:pStyle w:val="Heading3"/>
      </w:pPr>
      <w:r>
        <w:t xml:space="preserve">5.4 Limitations</w:t>
      </w:r>
    </w:p>
    <w:p>
      <w:pPr>
        <w:pStyle w:val="FirstParagraph"/>
      </w:pPr>
      <w:r>
        <w:t xml:space="preserve">Three limitations bound the resource’s current scope. First, NuGeMi-KG is</w:t>
      </w:r>
      <w:r>
        <w:t xml:space="preserve"> </w:t>
      </w:r>
      <w:r>
        <w:t xml:space="preserve">restricted to cardiometabolic phenotypes (eleven MONDO classes); extension</w:t>
      </w:r>
      <w:r>
        <w:t xml:space="preserve"> </w:t>
      </w:r>
      <w:r>
        <w:t xml:space="preserve">to other complex diseases requires re-running the GWAS adapter with a new</w:t>
      </w:r>
      <w:r>
        <w:t xml:space="preserve"> </w:t>
      </w:r>
      <w:r>
        <w:t xml:space="preserve">keyword filter and adjusting the gutMGene DOID-to-MONDO mapping. Second,</w:t>
      </w:r>
      <w:r>
        <w:t xml:space="preserve"> </w:t>
      </w:r>
      <w:r>
        <w:t xml:space="preserve">the microbiome layer inherits gutMGene’s coverage limitations: of 192</w:t>
      </w:r>
      <w:r>
        <w:t xml:space="preserve"> </w:t>
      </w:r>
      <w:r>
        <w:t xml:space="preserve">included microbes, only one is directly annotated with obesity in the</w:t>
      </w:r>
      <w:r>
        <w:t xml:space="preserve"> </w:t>
      </w:r>
      <w:r>
        <w:t xml:space="preserve">source database, which limits the expressiveness of microbe-to-phenotype</w:t>
      </w:r>
      <w:r>
        <w:t xml:space="preserve"> </w:t>
      </w:r>
      <w:r>
        <w:t xml:space="preserve">direct queries (CQ6). Cross-layer paths via shared host genes (CQ7, CQ12,</w:t>
      </w:r>
      <w:r>
        <w:t xml:space="preserve"> </w:t>
      </w:r>
      <w:r>
        <w:t xml:space="preserve">CQ14) substantially mitigate this. Third, the food layer uses USDA’s</w:t>
      </w:r>
      <w:r>
        <w:t xml:space="preserve"> </w:t>
      </w:r>
      <w:r>
        <w:t xml:space="preserve">Foundation Foods subset (358 foods); broader coverage will require</w:t>
      </w:r>
      <w:r>
        <w:t xml:space="preserve"> </w:t>
      </w:r>
      <w:r>
        <w:t xml:space="preserve">incorporating additional food-composition resources such as FooDB and</w:t>
      </w:r>
      <w:r>
        <w:t xml:space="preserve"> </w:t>
      </w:r>
      <w:r>
        <w:t xml:space="preserve">mapping their identifiers to FDC. Finally, the manual audit (n=24</w:t>
      </w:r>
      <w:r>
        <w:t xml:space="preserve"> </w:t>
      </w:r>
      <w:r>
        <w:t xml:space="preserve">evaluable) is statistically appropriate for an initial release but a</w:t>
      </w:r>
      <w:r>
        <w:t xml:space="preserve"> </w:t>
      </w:r>
      <w:r>
        <w:t xml:space="preserve">larger second-annotator audit would tighten the strict-VERIFIED</w:t>
      </w:r>
      <w:r>
        <w:t xml:space="preserve"> </w:t>
      </w:r>
      <w:r>
        <w:t xml:space="preserve">confidence interval; this is planned for v1.1.</w:t>
      </w:r>
    </w:p>
    <w:bookmarkEnd w:id="43"/>
    <w:bookmarkStart w:id="44" w:name="implications-and-future-work"/>
    <w:p>
      <w:pPr>
        <w:pStyle w:val="Heading3"/>
      </w:pPr>
      <w:r>
        <w:t xml:space="preserve">5.5 Implications and future work</w:t>
      </w:r>
    </w:p>
    <w:p>
      <w:pPr>
        <w:pStyle w:val="FirstParagraph"/>
      </w:pPr>
      <w:r>
        <w:t xml:space="preserve">NuGeMi-KG is designed for hypothesis generation rather than statistical</w:t>
      </w:r>
      <w:r>
        <w:t xml:space="preserve"> </w:t>
      </w:r>
      <w:r>
        <w:t xml:space="preserve">inference. A typical user-facing workflow combines a Cypher query that</w:t>
      </w:r>
      <w:r>
        <w:t xml:space="preserve"> </w:t>
      </w:r>
      <w:r>
        <w:t xml:space="preserve">identifies candidate cross-layer relationships, manual review of the</w:t>
      </w:r>
      <w:r>
        <w:t xml:space="preserve"> </w:t>
      </w:r>
      <w:r>
        <w:t xml:space="preserve">underlying primary sources via the embedded PMIDs, and downstream</w:t>
      </w:r>
      <w:r>
        <w:t xml:space="preserve"> </w:t>
      </w:r>
      <w:r>
        <w:t xml:space="preserve">experimental or epidemiological validation in independent cohorts. We</w:t>
      </w:r>
      <w:r>
        <w:t xml:space="preserve"> </w:t>
      </w:r>
      <w:r>
        <w:t xml:space="preserve">anticipate three application directions: (i) nutrigenetic hypothesis</w:t>
      </w:r>
      <w:r>
        <w:t xml:space="preserve"> </w:t>
      </w:r>
      <w:r>
        <w:t xml:space="preserve">generation for diet-modifiable risk modifiers conditioned on a person’s</w:t>
      </w:r>
      <w:r>
        <w:t xml:space="preserve"> </w:t>
      </w:r>
      <w:r>
        <w:t xml:space="preserve">genotype; (ii) drug-repurposing screens that cross-reference microbial</w:t>
      </w:r>
      <w:r>
        <w:t xml:space="preserve"> </w:t>
      </w:r>
      <w:r>
        <w:t xml:space="preserve">metabolites against approved-drug targets; and (iii) SNP-aware dietary</w:t>
      </w:r>
      <w:r>
        <w:t xml:space="preserve"> </w:t>
      </w:r>
      <w:r>
        <w:t xml:space="preserve">recommendation systems for clinical-translational tools. Planned future</w:t>
      </w:r>
      <w:r>
        <w:t xml:space="preserve"> </w:t>
      </w:r>
      <w:r>
        <w:t xml:space="preserve">work includes incorporation of UK Biobank cardiometabolic GWAS summary</w:t>
      </w:r>
      <w:r>
        <w:t xml:space="preserve"> </w:t>
      </w:r>
      <w:r>
        <w:t xml:space="preserve">statistics, integration of KGMicrobe’s broader microbial functional</w:t>
      </w:r>
      <w:r>
        <w:t xml:space="preserve"> </w:t>
      </w:r>
      <w:r>
        <w:t xml:space="preserve">annotation, and a second-annotator audit cycle.</w:t>
      </w:r>
    </w:p>
    <w:bookmarkEnd w:id="44"/>
    <w:bookmarkEnd w:id="45"/>
    <w:bookmarkStart w:id="46" w:name="conclusion"/>
    <w:p>
      <w:pPr>
        <w:pStyle w:val="Heading2"/>
      </w:pPr>
      <w:r>
        <w:t xml:space="preserve">6 Conclusion</w:t>
      </w:r>
    </w:p>
    <w:p>
      <w:pPr>
        <w:pStyle w:val="FirstParagraph"/>
      </w:pPr>
      <w:r>
        <w:t xml:space="preserve">We have presented NuGeMi-KG, a tri-layer knowledge graph that integrates</w:t>
      </w:r>
      <w:r>
        <w:t xml:space="preserve"> </w:t>
      </w:r>
      <w:r>
        <w:t xml:space="preserve">nutrigenetics, gut microbiome, and food chemistry under a single</w:t>
      </w:r>
      <w:r>
        <w:t xml:space="preserve"> </w:t>
      </w:r>
      <w:r>
        <w:t xml:space="preserve">Biolink-aligned schema specifically designed to support cardiometabolic</w:t>
      </w:r>
      <w:r>
        <w:t xml:space="preserve"> </w:t>
      </w:r>
      <w:r>
        <w:t xml:space="preserve">precision-nutrition research. The resource contains 55,263 nodes and</w:t>
      </w:r>
      <w:r>
        <w:t xml:space="preserve"> </w:t>
      </w:r>
      <w:r>
        <w:t xml:space="preserve">85,308 edges across eight node types and nine edge types, with 100%</w:t>
      </w:r>
      <w:r>
        <w:t xml:space="preserve"> </w:t>
      </w:r>
      <w:r>
        <w:t xml:space="preserve">PubMed citation coverage on its literature-derived edges. We defined</w:t>
      </w:r>
      <w:r>
        <w:t xml:space="preserve"> </w:t>
      </w:r>
      <w:r>
        <w:t xml:space="preserve">fifteen competency questions to evaluate the schema, of which fourteen</w:t>
      </w:r>
      <w:r>
        <w:t xml:space="preserve"> </w:t>
      </w:r>
      <w:r>
        <w:t xml:space="preserve">return biologically meaningful results, including five tri-layer queries</w:t>
      </w:r>
      <w:r>
        <w:t xml:space="preserve"> </w:t>
      </w:r>
      <w:r>
        <w:t xml:space="preserve">that surface novel hypothesis-generation patterns — for example, the</w:t>
      </w:r>
      <w:r>
        <w:t xml:space="preserve"> </w:t>
      </w:r>
      <w:r>
        <w:t xml:space="preserve">convergence of</w:t>
      </w:r>
      <w:r>
        <w:t xml:space="preserve"> </w:t>
      </w:r>
      <w:r>
        <w:rPr>
          <w:iCs/>
          <w:i/>
        </w:rPr>
        <w:t xml:space="preserve">Streptococcus salivarius</w:t>
      </w:r>
      <w:r>
        <w:t xml:space="preserve">,</w:t>
      </w:r>
      <w:r>
        <w:t xml:space="preserve"> </w:t>
      </w:r>
      <w:r>
        <w:rPr>
          <w:iCs/>
          <w:i/>
        </w:rPr>
        <w:t xml:space="preserve">Enterococcus faecalis</w:t>
      </w:r>
      <w:r>
        <w:t xml:space="preserve">, and</w:t>
      </w:r>
      <w:r>
        <w:t xml:space="preserve"> </w:t>
      </w:r>
      <w:r>
        <w:t xml:space="preserve">forty-five cardiometabolic GWAS variants on PPARG. A manual audit of</w:t>
      </w:r>
      <w:r>
        <w:t xml:space="preserve"> </w:t>
      </w:r>
      <w:r>
        <w:t xml:space="preserve">twenty-four randomly sampled edges places the strict-protocol verification</w:t>
      </w:r>
      <w:r>
        <w:t xml:space="preserve"> </w:t>
      </w:r>
      <w:r>
        <w:t xml:space="preserve">rate at 62% (95% CI [43, 79]%), with 91% of sampled edges having direct</w:t>
      </w:r>
      <w:r>
        <w:t xml:space="preserve"> </w:t>
      </w:r>
      <w:r>
        <w:t xml:space="preserve">primary-literature support. The KG, source code, and reproducibility</w:t>
      </w:r>
      <w:r>
        <w:t xml:space="preserve"> </w:t>
      </w:r>
      <w:r>
        <w:t xml:space="preserve">artefacts are released under CC-BY-4.0 at https://github.com/sthoniyot/cardiometabolic-kg</w:t>
      </w:r>
      <w:r>
        <w:t xml:space="preserve"> </w:t>
      </w:r>
      <w:r>
        <w:t xml:space="preserve">and archived at Zenodo (DOI to be assigned). NuGeMi-KG is, to our knowledge,</w:t>
      </w:r>
      <w:r>
        <w:t xml:space="preserve"> </w:t>
      </w:r>
      <w:r>
        <w:t xml:space="preserve">the first publicly available resource in which a single graph query can</w:t>
      </w:r>
      <w:r>
        <w:t xml:space="preserve"> </w:t>
      </w:r>
      <w:r>
        <w:t xml:space="preserve">traverse food, microbiome, host genetics, and cardiometabolic phenotype in</w:t>
      </w:r>
      <w:r>
        <w:t xml:space="preserve"> </w:t>
      </w:r>
      <w:r>
        <w:t xml:space="preserve">one statement, and we anticipate that this property will support</w:t>
      </w:r>
      <w:r>
        <w:t xml:space="preserve"> </w:t>
      </w:r>
      <w:r>
        <w:t xml:space="preserve">hypothesis-generation workflows that have not previously been expressible</w:t>
      </w:r>
      <w:r>
        <w:t xml:space="preserve"> </w:t>
      </w:r>
      <w:r>
        <w:t xml:space="preserve">against any single public knowledge graph.</w:t>
      </w:r>
    </w:p>
    <w:bookmarkEnd w:id="46"/>
    <w:bookmarkStart w:id="47" w:name="code-availability"/>
    <w:p>
      <w:pPr>
        <w:pStyle w:val="Heading2"/>
      </w:pPr>
      <w:r>
        <w:t xml:space="preserve">7 Code Availability</w:t>
      </w:r>
    </w:p>
    <w:p>
      <w:pPr>
        <w:pStyle w:val="FirstParagraph"/>
      </w:pPr>
      <w:r>
        <w:t xml:space="preserve">All source code, build scripts, schema configuration, competency-query</w:t>
      </w:r>
      <w:r>
        <w:t xml:space="preserve"> </w:t>
      </w:r>
      <w:r>
        <w:t xml:space="preserve">files, and audit data are released under CC-BY-4.0 at</w:t>
      </w:r>
      <w:r>
        <w:t xml:space="preserve"> </w:t>
      </w:r>
      <w:r>
        <w:t xml:space="preserve">https://github.com/sthoniyot/cardiometabolic-kg and archived at Zenodo</w:t>
      </w:r>
      <w:r>
        <w:t xml:space="preserve"> </w:t>
      </w:r>
      <w:r>
        <w:t xml:space="preserve">(DOI: 10.5281/zenodo.PLACEHOLDER). Pre-built Neo4j database dumps and</w:t>
      </w:r>
      <w:r>
        <w:t xml:space="preserve"> </w:t>
      </w:r>
      <w:r>
        <w:t xml:space="preserve">BioCypher CSV exports are available in the same Zenodo deposit. The</w:t>
      </w:r>
      <w:r>
        <w:t xml:space="preserve"> </w:t>
      </w:r>
      <w:r>
        <w:t xml:space="preserve">software stack is Python 3.11, BioCypher 0.8.0, Neo4j 5.x, and the</w:t>
      </w:r>
      <w:r>
        <w:t xml:space="preserve"> </w:t>
      </w:r>
      <w:r>
        <w:t xml:space="preserve">Neo4j Python driver ≥5.0; full pinned dependencies are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bookmarkEnd w:id="47"/>
    <w:bookmarkEnd w:id="48"/>
    <w:bookmarkStart w:id="57" w:name="figure-captions"/>
    <w:p>
      <w:pPr>
        <w:pStyle w:val="Heading1"/>
      </w:pPr>
      <w:r>
        <w:t xml:space="preserve">Figure captions</w:t>
      </w:r>
    </w:p>
    <w:bookmarkStart w:id="49" w:name="X31eb2952c0ce1ed62efb66188f82029b817b965"/>
    <w:p>
      <w:pPr>
        <w:pStyle w:val="Heading2"/>
      </w:pPr>
      <w:r>
        <w:t xml:space="preserve">Figure 1. Cardiometabolic knowledge graph at scale.</w:t>
      </w:r>
    </w:p>
    <w:p>
      <w:pPr>
        <w:pStyle w:val="FirstParagraph"/>
      </w:pPr>
      <w:r>
        <w:t xml:space="preserve">The full NuGeMi-KG visualised in Neo4j Browser. Nodes are coloured by type</w:t>
      </w:r>
      <w:r>
        <w:t xml:space="preserve"> </w:t>
      </w:r>
      <w:r>
        <w:t xml:space="preserve">(SNPs, dark blue; genes, orange; phenotypes, red; microbes, cyan; nutrients,</w:t>
      </w:r>
      <w:r>
        <w:t xml:space="preserve"> </w:t>
      </w:r>
      <w:r>
        <w:t xml:space="preserve">green; foods, yellow); edges by relationship type (Methods §2.2). The graph</w:t>
      </w:r>
      <w:r>
        <w:t xml:space="preserve"> </w:t>
      </w:r>
      <w:r>
        <w:t xml:space="preserve">contains 55,263 nodes and 85,308 edges. Layout is force-directed and not</w:t>
      </w:r>
      <w:r>
        <w:t xml:space="preserve"> </w:t>
      </w:r>
      <w:r>
        <w:t xml:space="preserve">biologically meaningful at this density; the figure is provided to convey</w:t>
      </w:r>
      <w:r>
        <w:t xml:space="preserve"> </w:t>
      </w:r>
      <w:r>
        <w:t xml:space="preserve">overall scale and the relative size of each layer. Two structural features</w:t>
      </w:r>
      <w:r>
        <w:t xml:space="preserve"> </w:t>
      </w:r>
      <w:r>
        <w:t xml:space="preserve">are visible at this resolution: (i) the dense blue mass at left is the</w:t>
      </w:r>
      <w:r>
        <w:t xml:space="preserve"> </w:t>
      </w:r>
      <w:r>
        <w:t xml:space="preserve">genetics layer (47,718 SNPs converging on a smaller set of genes and 11</w:t>
      </w:r>
      <w:r>
        <w:t xml:space="preserve"> </w:t>
      </w:r>
      <w:r>
        <w:t xml:space="preserve">cardiometabolic phenotypes), and (ii) the smaller cyan-and-green cluster at</w:t>
      </w:r>
      <w:r>
        <w:t xml:space="preserve"> </w:t>
      </w:r>
      <w:r>
        <w:t xml:space="preserve">the right is the literature-curated microbiome–metabolite layer connecting</w:t>
      </w:r>
      <w:r>
        <w:t xml:space="preserve"> </w:t>
      </w:r>
      <w:r>
        <w:t xml:space="preserve">into the central genes layer through ~180 microbe→host-gene edges. The food-</w:t>
      </w:r>
      <w:r>
        <w:t xml:space="preserve"> </w:t>
      </w:r>
      <w:r>
        <w:t xml:space="preserve">chemistry layer (yellow) attaches via shared nutrient nodes (green). Detailed</w:t>
      </w:r>
      <w:r>
        <w:t xml:space="preserve"> </w:t>
      </w:r>
      <w:r>
        <w:t xml:space="preserve">schema-level views and tri-layer query results are shown in Figures 2 and 3</w:t>
      </w:r>
      <w:r>
        <w:t xml:space="preserve"> </w:t>
      </w:r>
      <w:r>
        <w:t xml:space="preserve">respectively.</w:t>
      </w:r>
    </w:p>
    <w:bookmarkEnd w:id="49"/>
    <w:bookmarkStart w:id="50" w:name="X6f769ae58663be88121c6f91b888c353c6132aa"/>
    <w:p>
      <w:pPr>
        <w:pStyle w:val="Heading2"/>
      </w:pPr>
      <w:r>
        <w:t xml:space="preserve">Figure 2. Schema of the NuGeMi-KG knowledge graph.</w:t>
      </w:r>
    </w:p>
    <w:p>
      <w:pPr>
        <w:pStyle w:val="FirstParagraph"/>
      </w:pPr>
      <w:r>
        <w:t xml:space="preserve">Abstract schema visualised via Neo4j’s</w:t>
      </w:r>
      <w:r>
        <w:t xml:space="preserve"> </w:t>
      </w:r>
      <w:r>
        <w:rPr>
          <w:rStyle w:val="VerbatimChar"/>
        </w:rPr>
        <w:t xml:space="preserve">db.schema.visualization()</w:t>
      </w:r>
      <w:r>
        <w:t xml:space="preserve"> </w:t>
      </w:r>
      <w:r>
        <w:t xml:space="preserve">procedure.</w:t>
      </w:r>
      <w:r>
        <w:t xml:space="preserve"> </w:t>
      </w:r>
      <w:r>
        <w:t xml:space="preserve">Eight node types (rectangles) are connected by nine edge types (labelled</w:t>
      </w:r>
      <w:r>
        <w:t xml:space="preserve"> </w:t>
      </w:r>
      <w:r>
        <w:t xml:space="preserve">arrows): genetics-internal (SnpToGene, SnpToPhenotype, GeneToPathway),</w:t>
      </w:r>
      <w:r>
        <w:t xml:space="preserve"> </w:t>
      </w:r>
      <w:r>
        <w:t xml:space="preserve">food-internal (FoodToNutrient), microbiome-internal (MicrobeToNutrient,</w:t>
      </w:r>
      <w:r>
        <w:t xml:space="preserve"> </w:t>
      </w:r>
      <w:r>
        <w:t xml:space="preserve">MicrobeToCazyme, MicrobeToGene) and three cross-layer edges</w:t>
      </w:r>
      <w:r>
        <w:t xml:space="preserve"> </w:t>
      </w:r>
      <w:r>
        <w:t xml:space="preserve">(NutrientToPhenotype, MicrobeToPhenotype, PhenotypeToPhenotype) that bridge</w:t>
      </w:r>
      <w:r>
        <w:t xml:space="preserve"> </w:t>
      </w:r>
      <w:r>
        <w:t xml:space="preserve">the three layers. Each node type is aligned to its parent class in the</w:t>
      </w:r>
      <w:r>
        <w:t xml:space="preserve"> </w:t>
      </w:r>
      <w:r>
        <w:t xml:space="preserve">Biolink Model v3.6 (Methods §2.2.2): for instance,</w:t>
      </w:r>
      <w:r>
        <w:t xml:space="preserve"> </w:t>
      </w:r>
      <w:r>
        <w:rPr>
          <w:rStyle w:val="VerbatimChar"/>
        </w:rPr>
        <w:t xml:space="preserve">Snp</w:t>
      </w:r>
      <w:r>
        <w:t xml:space="preserve"> </w:t>
      </w:r>
      <w:r>
        <w:rPr>
          <w:iCs/>
          <w:i/>
        </w:rPr>
        <w:t xml:space="preserve">is_a</w:t>
      </w:r>
      <w:r>
        <w:t xml:space="preserve"> </w:t>
      </w:r>
      <w:r>
        <w:rPr>
          <w:rStyle w:val="VerbatimChar"/>
        </w:rPr>
        <w:t xml:space="preserve">sequence_variant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Microbe</w:t>
      </w:r>
      <w:r>
        <w:t xml:space="preserve"> </w:t>
      </w:r>
      <w:r>
        <w:rPr>
          <w:iCs/>
          <w:i/>
        </w:rPr>
        <w:t xml:space="preserve">is_a</w:t>
      </w:r>
      <w:r>
        <w:t xml:space="preserve"> </w:t>
      </w:r>
      <w:r>
        <w:rPr>
          <w:rStyle w:val="VerbatimChar"/>
        </w:rPr>
        <w:t xml:space="preserve">organism_taxon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Nutrient</w:t>
      </w:r>
      <w:r>
        <w:t xml:space="preserve"> </w:t>
      </w:r>
      <w:r>
        <w:rPr>
          <w:iCs/>
          <w:i/>
        </w:rPr>
        <w:t xml:space="preserve">is_a</w:t>
      </w:r>
      <w:r>
        <w:t xml:space="preserve"> </w:t>
      </w:r>
      <w:r>
        <w:rPr>
          <w:rStyle w:val="VerbatimChar"/>
        </w:rPr>
        <w:t xml:space="preserve">small_molecule</w:t>
      </w:r>
      <w:r>
        <w:t xml:space="preserve">. All edge types inherit from Biolink’s</w:t>
      </w:r>
      <w:r>
        <w:t xml:space="preserve"> </w:t>
      </w:r>
      <w:r>
        <w:rPr>
          <w:rStyle w:val="VerbatimChar"/>
        </w:rPr>
        <w:t xml:space="preserve">Association</w:t>
      </w:r>
      <w:r>
        <w:t xml:space="preserve"> </w:t>
      </w:r>
      <w:r>
        <w:t xml:space="preserve">class and carry per-edge provenance properties (PMID, evidence tier, and</w:t>
      </w:r>
      <w:r>
        <w:t xml:space="preserve"> </w:t>
      </w:r>
      <w:r>
        <w:t xml:space="preserve">where applicable, p-value or effect size). The schema is the primary</w:t>
      </w:r>
      <w:r>
        <w:t xml:space="preserve"> </w:t>
      </w:r>
      <w:r>
        <w:t xml:space="preserve">contribution of NuGeMi-KG: it is the structural pattern that allows queries</w:t>
      </w:r>
      <w:r>
        <w:t xml:space="preserve"> </w:t>
      </w:r>
      <w:r>
        <w:t xml:space="preserve">to traverse from food through microbiome through genetics to phenotype in a</w:t>
      </w:r>
      <w:r>
        <w:t xml:space="preserve"> </w:t>
      </w:r>
      <w:r>
        <w:t xml:space="preserve">single Cypher statement (cf. Figure 3).</w:t>
      </w:r>
    </w:p>
    <w:bookmarkEnd w:id="50"/>
    <w:bookmarkStart w:id="51" w:name="X4457906bebf92b80f0616bf3b994a48eaf00c49"/>
    <w:p>
      <w:pPr>
        <w:pStyle w:val="Heading2"/>
      </w:pPr>
      <w:r>
        <w:t xml:space="preserve">Figure 3. PPARG as a tri-layer convergence point in cardiometabolic disease.</w:t>
      </w:r>
    </w:p>
    <w:p>
      <w:pPr>
        <w:pStyle w:val="FirstParagraph"/>
      </w:pPr>
      <w:r>
        <w:t xml:space="preserve">Result of competency question CQ12, visualised in Neo4j Browser. The host gene</w:t>
      </w:r>
      <w:r>
        <w:t xml:space="preserve"> </w:t>
      </w:r>
      <w:r>
        <w:t xml:space="preserve">PPARG (orange, centre) is jointly modulated by two gut microbes from gutMGene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Streptococcus salivarius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Enterococcus faecalis</w:t>
      </w:r>
      <w:r>
        <w:t xml:space="preserve"> </w:t>
      </w:r>
      <w:r>
        <w:t xml:space="preserve">(cyan) — and carries</w:t>
      </w:r>
      <w:r>
        <w:t xml:space="preserve"> </w:t>
      </w:r>
      <w:r>
        <w:t xml:space="preserve">45 distinct cardiometabolic GWAS variants from the GWAS Catalog, of which the</w:t>
      </w:r>
      <w:r>
        <w:t xml:space="preserve"> </w:t>
      </w:r>
      <w:r>
        <w:t xml:space="preserve">eight chromosome-3 SNPs in closest physical proximity to the PPARG locus are</w:t>
      </w:r>
      <w:r>
        <w:t xml:space="preserve"> </w:t>
      </w:r>
      <w:r>
        <w:t xml:space="preserve">shown (dark blue, with rsIDs as captions). Both microbes are connected to</w:t>
      </w:r>
      <w:r>
        <w:t xml:space="preserve"> </w:t>
      </w:r>
      <w:r>
        <w:t xml:space="preserve">PPARG via causal</w:t>
      </w:r>
      <w:r>
        <w:t xml:space="preserve"> </w:t>
      </w:r>
      <w:r>
        <w:rPr>
          <w:rStyle w:val="VerbatimChar"/>
        </w:rPr>
        <w:t xml:space="preserve">MicrobeToGene</w:t>
      </w:r>
      <w:r>
        <w:t xml:space="preserve"> </w:t>
      </w:r>
      <w:r>
        <w:t xml:space="preserve">edges curated by gutMGene; each rsID is</w:t>
      </w:r>
      <w:r>
        <w:t xml:space="preserve"> </w:t>
      </w:r>
      <w:r>
        <w:t xml:space="preserve">connected to PPARG via a</w:t>
      </w:r>
      <w:r>
        <w:t xml:space="preserve"> </w:t>
      </w:r>
      <w:r>
        <w:rPr>
          <w:rStyle w:val="VerbatimChar"/>
        </w:rPr>
        <w:t xml:space="preserve">SnpToGene</w:t>
      </w:r>
      <w:r>
        <w:t xml:space="preserve"> </w:t>
      </w:r>
      <w:r>
        <w:t xml:space="preserve">edge from the GWAS Catalog and to one or</w:t>
      </w:r>
      <w:r>
        <w:t xml:space="preserve"> </w:t>
      </w:r>
      <w:r>
        <w:t xml:space="preserve">more cardiometabolic phenotypes (red) via</w:t>
      </w:r>
      <w:r>
        <w:t xml:space="preserve"> </w:t>
      </w:r>
      <w:r>
        <w:rPr>
          <w:rStyle w:val="VerbatimChar"/>
        </w:rPr>
        <w:t xml:space="preserve">SnpToPhenotype</w:t>
      </w:r>
      <w:r>
        <w:t xml:space="preserve">. PPARG encodes the</w:t>
      </w:r>
      <w:r>
        <w:t xml:space="preserve"> </w:t>
      </w:r>
      <w:r>
        <w:t xml:space="preserve">PPARγ nuclear receptor, the molecular target of the thiazolidinedione class of</w:t>
      </w:r>
      <w:r>
        <w:t xml:space="preserve"> </w:t>
      </w:r>
      <w:r>
        <w:t xml:space="preserve">type-2-diabetes drugs and a known mediator of short-chain fatty acid signalling</w:t>
      </w:r>
      <w:r>
        <w:t xml:space="preserve"> </w:t>
      </w:r>
      <w:r>
        <w:t xml:space="preserve">from the gut microbiome. The convergence of microbial, genetic, and phenotypic</w:t>
      </w:r>
      <w:r>
        <w:t xml:space="preserve"> </w:t>
      </w:r>
      <w:r>
        <w:t xml:space="preserve">evidence on PPARG illustrates the principal hypothesis-generation pattern that</w:t>
      </w:r>
      <w:r>
        <w:t xml:space="preserve"> </w:t>
      </w:r>
      <w:r>
        <w:t xml:space="preserve">NuGeMi-KG is designed to support; analogous tri-layer hubs are returned for</w:t>
      </w:r>
      <w:r>
        <w:t xml:space="preserve"> </w:t>
      </w:r>
      <w:r>
        <w:t xml:space="preserve">HNF4A, VEGFA, and ANGPTL4 (Methods §4.2).</w:t>
      </w:r>
    </w:p>
    <w:p>
      <w:r>
        <w:pict>
          <v:rect style="width:0;height:1.5pt" o:hralign="center" o:hrstd="t" o:hr="t"/>
        </w:pict>
      </w:r>
    </w:p>
    <w:bookmarkEnd w:id="51"/>
    <w:bookmarkStart w:id="52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We thank the curators and developers of the GWAS Catalog (NHGRI–EBI), USDA</w:t>
      </w:r>
      <w:r>
        <w:t xml:space="preserve"> </w:t>
      </w:r>
      <w:r>
        <w:t xml:space="preserve">FoodData Central, gutMGene v2.0, the Biolink Model, and the BioCypher</w:t>
      </w:r>
      <w:r>
        <w:t xml:space="preserve"> </w:t>
      </w:r>
      <w:r>
        <w:t xml:space="preserve">framework.</w:t>
      </w:r>
    </w:p>
    <w:bookmarkEnd w:id="52"/>
    <w:bookmarkStart w:id="53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rPr>
          <w:bCs/>
          <w:b/>
        </w:rPr>
        <w:t xml:space="preserve">S.T.</w:t>
      </w:r>
      <w:r>
        <w:t xml:space="preserve">: conceptualisation, data curation, software, formal analysis,</w:t>
      </w:r>
      <w:r>
        <w:t xml:space="preserve"> </w:t>
      </w:r>
      <w:r>
        <w:t xml:space="preserve">visualisation, writing — original draft, writing — review and editing.</w:t>
      </w:r>
      <w:r>
        <w:t xml:space="preserve"> </w:t>
      </w:r>
      <w:r>
        <w:rPr>
          <w:bCs/>
          <w:b/>
        </w:rPr>
        <w:t xml:space="preserve">V.B.</w:t>
      </w:r>
      <w:r>
        <w:t xml:space="preserve">: supervision, conceptualisation, writing — review and editing.</w:t>
      </w:r>
    </w:p>
    <w:bookmarkEnd w:id="53"/>
    <w:bookmarkStart w:id="54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author(s) declare no competing interests.</w:t>
      </w:r>
    </w:p>
    <w:bookmarkEnd w:id="54"/>
    <w:bookmarkStart w:id="55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All data, code, and pre-built knowledge-graph artefacts are publicly</w:t>
      </w:r>
      <w:r>
        <w:t xml:space="preserve"> </w:t>
      </w:r>
      <w:r>
        <w:t xml:space="preserve">available under CC-BY-4.0; see §3 Data Records and §7 Code Availability for</w:t>
      </w:r>
      <w:r>
        <w:t xml:space="preserve"> </w:t>
      </w:r>
      <w:r>
        <w:t xml:space="preserve">URLs and DOIs.</w:t>
      </w:r>
    </w:p>
    <w:bookmarkEnd w:id="55"/>
    <w:bookmarkStart w:id="56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1"/>
        </w:numPr>
        <w:pStyle w:val="Compact"/>
      </w:pPr>
      <w:r>
        <w:t xml:space="preserve">Sollis E, et al. The NHGRI-EBI GWAS Catalog: knowledge base and deposition resource.</w:t>
      </w:r>
      <w:r>
        <w:t xml:space="preserve"> </w:t>
      </w:r>
      <w:r>
        <w:rPr>
          <w:iCs/>
          <w:i/>
        </w:rPr>
        <w:t xml:space="preserve">Nucleic Acids Res</w:t>
      </w:r>
      <w:r>
        <w:t xml:space="preserve">. 2023;51(D1):D977–D985. doi:10.1093/nar/gkac1010</w:t>
      </w:r>
    </w:p>
    <w:p>
      <w:pPr>
        <w:numPr>
          <w:ilvl w:val="0"/>
          <w:numId w:val="1001"/>
        </w:numPr>
        <w:pStyle w:val="Compact"/>
      </w:pPr>
      <w:r>
        <w:t xml:space="preserve">McKillop KT, Fukagawa NK. USDA FoodData Central: methodology and data quality.</w:t>
      </w:r>
      <w:r>
        <w:t xml:space="preserve"> </w:t>
      </w:r>
      <w:r>
        <w:rPr>
          <w:iCs/>
          <w:i/>
        </w:rPr>
        <w:t xml:space="preserve">J Food Compos Anal</w:t>
      </w:r>
      <w:r>
        <w:t xml:space="preserve">. 2019. doi:10.1016/j.jfca.2019.103289</w:t>
      </w:r>
    </w:p>
    <w:p>
      <w:pPr>
        <w:numPr>
          <w:ilvl w:val="0"/>
          <w:numId w:val="1001"/>
        </w:numPr>
        <w:pStyle w:val="Compact"/>
      </w:pPr>
      <w:r>
        <w:t xml:space="preserve">Qi C, et al. gutMGene v2.0: an updated comprehensive database for target genes of gut microbes and microbial metabolites.</w:t>
      </w:r>
      <w:r>
        <w:t xml:space="preserve"> </w:t>
      </w:r>
      <w:r>
        <w:rPr>
          <w:iCs/>
          <w:i/>
        </w:rPr>
        <w:t xml:space="preserve">Nucleic Acids Res</w:t>
      </w:r>
      <w:r>
        <w:t xml:space="preserve">. 2025;53(D1):D783–D788. doi:10.1093/nar/gkae1002</w:t>
      </w:r>
    </w:p>
    <w:p>
      <w:pPr>
        <w:numPr>
          <w:ilvl w:val="0"/>
          <w:numId w:val="1001"/>
        </w:numPr>
        <w:pStyle w:val="Compact"/>
      </w:pPr>
      <w:r>
        <w:t xml:space="preserve">Chandak P, Huang K, Zitnik M. Building a knowledge graph to enable precision medicine.</w:t>
      </w:r>
      <w:r>
        <w:t xml:space="preserve"> </w:t>
      </w:r>
      <w:r>
        <w:rPr>
          <w:iCs/>
          <w:i/>
        </w:rPr>
        <w:t xml:space="preserve">Sci Data</w:t>
      </w:r>
      <w:r>
        <w:t xml:space="preserve">. 2023;10:67. doi:10.1038/s41597-023-01960-3</w:t>
      </w:r>
    </w:p>
    <w:p>
      <w:pPr>
        <w:numPr>
          <w:ilvl w:val="0"/>
          <w:numId w:val="1001"/>
        </w:numPr>
        <w:pStyle w:val="Compact"/>
      </w:pPr>
      <w:r>
        <w:t xml:space="preserve">Putman T, et al. The Monarch Initiative in 2024: an analytic platform integrating phenotypes, genes and diseases across species.</w:t>
      </w:r>
      <w:r>
        <w:t xml:space="preserve"> </w:t>
      </w:r>
      <w:r>
        <w:rPr>
          <w:iCs/>
          <w:i/>
        </w:rPr>
        <w:t xml:space="preserve">Nucleic Acids Res</w:t>
      </w:r>
      <w:r>
        <w:t xml:space="preserve">. 2024;52(D1):D938–D949. doi:10.1093/nar/gkad1004</w:t>
      </w:r>
    </w:p>
    <w:p>
      <w:pPr>
        <w:numPr>
          <w:ilvl w:val="0"/>
          <w:numId w:val="1001"/>
        </w:numPr>
        <w:pStyle w:val="Compact"/>
      </w:pPr>
      <w:r>
        <w:t xml:space="preserve">Unni DR, et al. Biolink Model: A universal schema for knowledge graphs in clinical, biomedical, and translational science.</w:t>
      </w:r>
      <w:r>
        <w:t xml:space="preserve"> </w:t>
      </w:r>
      <w:r>
        <w:rPr>
          <w:iCs/>
          <w:i/>
        </w:rPr>
        <w:t xml:space="preserve">Clin Transl Sci</w:t>
      </w:r>
      <w:r>
        <w:t xml:space="preserve">. 2022;15(8):1848–1855. doi:10.1111/cts.13302</w:t>
      </w:r>
    </w:p>
    <w:p>
      <w:pPr>
        <w:numPr>
          <w:ilvl w:val="0"/>
          <w:numId w:val="1001"/>
        </w:numPr>
        <w:pStyle w:val="Compact"/>
      </w:pPr>
      <w:r>
        <w:t xml:space="preserve">Lobentanzer S, et al. Democratizing knowledge representation with BioCypher.</w:t>
      </w:r>
      <w:r>
        <w:t xml:space="preserve"> </w:t>
      </w:r>
      <w:r>
        <w:rPr>
          <w:iCs/>
          <w:i/>
        </w:rPr>
        <w:t xml:space="preserve">Nat Biotechnol</w:t>
      </w:r>
      <w:r>
        <w:t xml:space="preserve">. 2023;41:1056–1059. doi:10.1038/s41587-023-01848-y</w:t>
      </w:r>
    </w:p>
    <w:p>
      <w:pPr>
        <w:numPr>
          <w:ilvl w:val="0"/>
          <w:numId w:val="1001"/>
        </w:numPr>
        <w:pStyle w:val="Compact"/>
      </w:pPr>
      <w:r>
        <w:t xml:space="preserve">Vasilevsky NA, et al. Mondo: Unifying diseases for the world, by the world.</w:t>
      </w:r>
      <w:r>
        <w:t xml:space="preserve"> </w:t>
      </w:r>
      <w:r>
        <w:rPr>
          <w:iCs/>
          <w:i/>
        </w:rPr>
        <w:t xml:space="preserve">medRxiv</w:t>
      </w:r>
      <w:r>
        <w:t xml:space="preserve">. 2022. doi:10.1101/2022.04.13.22273750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2026-05-02T07:49:36Z</dcterms:created>
  <dcterms:modified xsi:type="dcterms:W3CDTF">2026-05-02T07:49:36Z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