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60" w:rsidRPr="000C4B60" w:rsidRDefault="000C4B60" w:rsidP="000C4B60">
      <w:p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da-DK"/>
        </w:rPr>
        <w:t>Hello group 6</w:t>
      </w:r>
    </w:p>
    <w:p w:rsidR="000C4B60" w:rsidRPr="000C4B60" w:rsidRDefault="000C4B60" w:rsidP="000C4B60">
      <w:pPr>
        <w:spacing w:after="0" w:line="240" w:lineRule="auto"/>
        <w:rPr>
          <w:rFonts w:eastAsia="Times New Roman" w:cs="Times New Roman"/>
          <w:szCs w:val="24"/>
          <w:lang w:val="en-US" w:eastAsia="da-DK"/>
        </w:rPr>
      </w:pPr>
    </w:p>
    <w:p w:rsidR="000C4B60" w:rsidRPr="000C4B60" w:rsidRDefault="000C4B60" w:rsidP="00D1353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Abstract:</w:t>
      </w:r>
    </w:p>
    <w:p w:rsidR="000C4B60" w:rsidRPr="000C4B60" w:rsidRDefault="000C4B60" w:rsidP="0091646B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It is okay to get names on certain abbreviations. </w:t>
      </w:r>
    </w:p>
    <w:p w:rsidR="000C4B60" w:rsidRPr="000C4B60" w:rsidRDefault="000C4B60" w:rsidP="0091646B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The word ‘these’ </w:t>
      </w:r>
      <w:proofErr w:type="gramStart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may be replaced</w:t>
      </w:r>
      <w:proofErr w:type="gramEnd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 by, what ‘these’ actually stands for. </w:t>
      </w:r>
    </w:p>
    <w:p w:rsidR="000C4B60" w:rsidRPr="000C4B60" w:rsidRDefault="000C4B60" w:rsidP="000C4B60">
      <w:pPr>
        <w:spacing w:after="0" w:line="240" w:lineRule="auto"/>
        <w:rPr>
          <w:rFonts w:eastAsia="Times New Roman" w:cs="Times New Roman"/>
          <w:szCs w:val="24"/>
          <w:lang w:val="en-US" w:eastAsia="da-DK"/>
        </w:rPr>
      </w:pPr>
    </w:p>
    <w:p w:rsidR="000C4B60" w:rsidRPr="000C4B60" w:rsidRDefault="000C4B60" w:rsidP="000C4B6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Introduction</w:t>
      </w:r>
    </w:p>
    <w:p w:rsidR="000C4B60" w:rsidRPr="000C4B60" w:rsidRDefault="000C4B60" w:rsidP="000C4B60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In general, this chapter is </w:t>
      </w:r>
      <w:proofErr w:type="spellStart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okaay</w:t>
      </w:r>
      <w:proofErr w:type="spellEnd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, but it would be good to make chapter references to all chapter - or none. It is weird with only three out of four chapters.</w:t>
      </w:r>
    </w:p>
    <w:p w:rsidR="000C4B60" w:rsidRPr="000C4B60" w:rsidRDefault="000C4B60" w:rsidP="000C4B60">
      <w:pPr>
        <w:spacing w:after="0" w:line="240" w:lineRule="auto"/>
        <w:rPr>
          <w:rFonts w:eastAsia="Times New Roman" w:cs="Times New Roman"/>
          <w:szCs w:val="24"/>
          <w:lang w:val="en-US" w:eastAsia="da-DK"/>
        </w:rPr>
      </w:pPr>
    </w:p>
    <w:p w:rsidR="000C4B60" w:rsidRPr="000C4B60" w:rsidRDefault="000C4B60" w:rsidP="000C4B6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About DDS</w:t>
      </w:r>
    </w:p>
    <w:p w:rsidR="000C4B60" w:rsidRPr="000C4B60" w:rsidRDefault="000C4B60" w:rsidP="000C4B6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It would be great, if the content about DDS equals RMI - the RMI part is bigger than DDS.</w:t>
      </w:r>
    </w:p>
    <w:p w:rsidR="000C4B60" w:rsidRPr="000C4B60" w:rsidRDefault="000C4B60" w:rsidP="000C4B6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There are fine separations among the </w:t>
      </w:r>
      <w:proofErr w:type="spellStart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concpets</w:t>
      </w:r>
      <w:proofErr w:type="spellEnd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 regarding DDS. Also, pictures or figures might supply great during explanations</w:t>
      </w:r>
      <w:proofErr w:type="gramStart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..</w:t>
      </w:r>
      <w:proofErr w:type="gramEnd"/>
    </w:p>
    <w:p w:rsidR="000C4B60" w:rsidRPr="000C4B60" w:rsidRDefault="000C4B60" w:rsidP="000C4B60">
      <w:pPr>
        <w:spacing w:after="0" w:line="240" w:lineRule="auto"/>
        <w:rPr>
          <w:rFonts w:eastAsia="Times New Roman" w:cs="Times New Roman"/>
          <w:szCs w:val="24"/>
          <w:lang w:val="en-US" w:eastAsia="da-DK"/>
        </w:rPr>
      </w:pPr>
    </w:p>
    <w:p w:rsidR="000C4B60" w:rsidRPr="000C4B60" w:rsidRDefault="000C4B60" w:rsidP="000C4B6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2.2 Publish/subscribe</w:t>
      </w:r>
    </w:p>
    <w:p w:rsidR="000C4B60" w:rsidRPr="000C4B60" w:rsidRDefault="000C4B60" w:rsidP="000C4B6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There should be a distinct separation for, what belongs to DDS and what </w:t>
      </w:r>
      <w:proofErr w:type="gramStart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doesn’t</w:t>
      </w:r>
      <w:proofErr w:type="gramEnd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 belong to DDS. The Publish/Subscribe is more like an idiom than a middleware type, which would be better to elaborate </w:t>
      </w:r>
      <w:proofErr w:type="gramStart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on</w:t>
      </w:r>
      <w:proofErr w:type="gramEnd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. It would also be more appropriate to write clearly that DDS makes use of the Publish/Subscribe idiom. </w:t>
      </w:r>
    </w:p>
    <w:p w:rsidR="000C4B60" w:rsidRPr="000C4B60" w:rsidRDefault="000C4B60" w:rsidP="000C4B60">
      <w:pPr>
        <w:spacing w:after="0" w:line="240" w:lineRule="auto"/>
        <w:rPr>
          <w:rFonts w:eastAsia="Times New Roman" w:cs="Times New Roman"/>
          <w:szCs w:val="24"/>
          <w:lang w:val="en-US" w:eastAsia="da-DK"/>
        </w:rPr>
      </w:pPr>
    </w:p>
    <w:p w:rsidR="000C4B60" w:rsidRPr="000C4B60" w:rsidRDefault="000C4B60" w:rsidP="000C4B6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2.3 DDS Components </w:t>
      </w:r>
    </w:p>
    <w:p w:rsidR="000C4B60" w:rsidRPr="000C4B60" w:rsidRDefault="000C4B60" w:rsidP="000C4B6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In this section, somewhere it is written: “(...</w:t>
      </w:r>
      <w:proofErr w:type="gramStart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)which</w:t>
      </w:r>
      <w:proofErr w:type="gramEnd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 means it will be notified by the publisher”, and that gives a vague picture of, what is happening. This vague picture might lead to understand that DDS </w:t>
      </w:r>
      <w:proofErr w:type="gramStart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is coupled</w:t>
      </w:r>
      <w:proofErr w:type="gramEnd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 in space, because you have to notify someone specifically. </w:t>
      </w:r>
      <w:proofErr w:type="gramStart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As a result</w:t>
      </w:r>
      <w:proofErr w:type="gramEnd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 of this assumption, it would be necessary to have knowledge about those who want to be notified. It is actually an </w:t>
      </w:r>
      <w:proofErr w:type="spellStart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EventService</w:t>
      </w:r>
      <w:proofErr w:type="spellEnd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 that takes care of this (see the following figure, which can be found in the lecture’s slides):</w:t>
      </w:r>
    </w:p>
    <w:p w:rsidR="000C4B60" w:rsidRPr="000C4B60" w:rsidRDefault="000C4B60" w:rsidP="000C4B60">
      <w:pPr>
        <w:spacing w:after="0" w:line="240" w:lineRule="auto"/>
        <w:jc w:val="center"/>
        <w:rPr>
          <w:rFonts w:eastAsia="Times New Roman" w:cs="Times New Roman"/>
          <w:szCs w:val="24"/>
          <w:lang w:eastAsia="da-DK"/>
        </w:rPr>
      </w:pPr>
      <w:r w:rsidRPr="000C4B60">
        <w:rPr>
          <w:rFonts w:ascii="Arial" w:eastAsia="Times New Roman" w:hAnsi="Arial" w:cs="Arial"/>
          <w:noProof/>
          <w:color w:val="000000"/>
          <w:sz w:val="23"/>
          <w:szCs w:val="23"/>
          <w:lang w:eastAsia="da-DK"/>
        </w:rPr>
        <w:drawing>
          <wp:inline distT="0" distB="0" distL="0" distR="0">
            <wp:extent cx="4324350" cy="2563500"/>
            <wp:effectExtent l="0" t="0" r="0" b="8255"/>
            <wp:docPr id="1" name="Picture 1" descr="https://lh3.googleusercontent.com/CXC3-ZqheQSqb8Gyrw1LMHWxWj2GZ_-8LRv_W1R9ReHbDyQvSVUaJ9352Y61eIZLPV50exZLG1leaqUDGANjqK-ymTF18GHwMBTf8m-l8oJSIzmX8bnAUgw4AI3bViKu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XC3-ZqheQSqb8Gyrw1LMHWxWj2GZ_-8LRv_W1R9ReHbDyQvSVUaJ9352Y61eIZLPV50exZLG1leaqUDGANjqK-ymTF18GHwMBTf8m-l8oJSIzmX8bnAUgw4AI3bViKuy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44" cy="256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B60" w:rsidRPr="000C4B60" w:rsidRDefault="000C4B60" w:rsidP="000C4B60">
      <w:pPr>
        <w:spacing w:after="0" w:line="240" w:lineRule="auto"/>
        <w:rPr>
          <w:rFonts w:eastAsia="Times New Roman" w:cs="Times New Roman"/>
          <w:szCs w:val="24"/>
          <w:lang w:eastAsia="da-DK"/>
        </w:rPr>
      </w:pPr>
    </w:p>
    <w:p w:rsidR="000C4B60" w:rsidRDefault="000C4B60" w:rsidP="000C4B6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</w:pPr>
    </w:p>
    <w:p w:rsidR="000C4B60" w:rsidRDefault="000C4B60" w:rsidP="000C4B6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</w:pPr>
    </w:p>
    <w:p w:rsidR="000C4B60" w:rsidRPr="000C4B60" w:rsidRDefault="000C4B60" w:rsidP="000C4B6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lastRenderedPageBreak/>
        <w:t>You could elaborate a bit more in the DLRL part.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 </w:t>
      </w: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You also write the following in the end of chapter 2.3:</w:t>
      </w: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br/>
      </w: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br/>
      </w:r>
      <w:r w:rsidRPr="000C4B60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da-DK"/>
        </w:rPr>
        <w:t xml:space="preserve">“The </w:t>
      </w:r>
      <w:proofErr w:type="spellStart"/>
      <w:r w:rsidRPr="000C4B60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da-DK"/>
        </w:rPr>
        <w:t>QoS</w:t>
      </w:r>
      <w:proofErr w:type="spellEnd"/>
    </w:p>
    <w:p w:rsidR="000C4B60" w:rsidRPr="000C4B60" w:rsidRDefault="000C4B60" w:rsidP="000C4B60">
      <w:pPr>
        <w:spacing w:after="0" w:line="240" w:lineRule="auto"/>
        <w:ind w:left="1440"/>
        <w:rPr>
          <w:rFonts w:eastAsia="Times New Roman" w:cs="Times New Roman"/>
          <w:szCs w:val="24"/>
          <w:lang w:val="en-US" w:eastAsia="da-DK"/>
        </w:rPr>
      </w:pPr>
      <w:proofErr w:type="gramStart"/>
      <w:r w:rsidRPr="000C4B60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da-DK"/>
        </w:rPr>
        <w:t>parameters</w:t>
      </w:r>
      <w:proofErr w:type="gramEnd"/>
      <w:r w:rsidRPr="000C4B60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da-DK"/>
        </w:rPr>
        <w:t xml:space="preserve"> are used to custom tailor the DDS applications by providing means of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da-DK"/>
        </w:rPr>
        <w:t xml:space="preserve"> </w:t>
      </w:r>
      <w:r w:rsidRPr="000C4B60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da-DK"/>
        </w:rPr>
        <w:t>specifying e.g. at what rate the publishers and subscribers connect to the data center.</w:t>
      </w: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”</w:t>
      </w:r>
    </w:p>
    <w:p w:rsidR="000C4B60" w:rsidRPr="000C4B60" w:rsidRDefault="000C4B60" w:rsidP="000C4B60">
      <w:pPr>
        <w:spacing w:after="0" w:line="240" w:lineRule="auto"/>
        <w:rPr>
          <w:rFonts w:eastAsia="Times New Roman" w:cs="Times New Roman"/>
          <w:szCs w:val="24"/>
          <w:lang w:val="en-US" w:eastAsia="da-DK"/>
        </w:rPr>
      </w:pPr>
    </w:p>
    <w:p w:rsidR="000C4B60" w:rsidRPr="000C4B60" w:rsidRDefault="000C4B60" w:rsidP="000C4B60">
      <w:pPr>
        <w:spacing w:after="0" w:line="240" w:lineRule="auto"/>
        <w:ind w:left="1304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We would clearly like a line or two about, what data center is in this context. A figure would also supply to this.</w:t>
      </w:r>
    </w:p>
    <w:p w:rsidR="000C4B60" w:rsidRPr="000C4B60" w:rsidRDefault="000C4B60" w:rsidP="000C4B60">
      <w:pPr>
        <w:spacing w:after="0" w:line="240" w:lineRule="auto"/>
        <w:ind w:left="1304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The last chapters are OK, though we found it a bit more complex to install and use the RTI </w:t>
      </w:r>
      <w:proofErr w:type="spellStart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Connext</w:t>
      </w:r>
      <w:proofErr w:type="spellEnd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, and also a little elaboration on why the data’s lifespan parameter is only one minute would be nice(page 9, just before listing 3.3), but this is of no great importance.</w:t>
      </w:r>
    </w:p>
    <w:p w:rsidR="000C4B60" w:rsidRPr="000C4B60" w:rsidRDefault="000C4B60" w:rsidP="000C4B60">
      <w:pPr>
        <w:spacing w:after="0" w:line="240" w:lineRule="auto"/>
        <w:rPr>
          <w:rFonts w:eastAsia="Times New Roman" w:cs="Times New Roman"/>
          <w:szCs w:val="24"/>
          <w:lang w:val="en-US" w:eastAsia="da-DK"/>
        </w:rPr>
      </w:pPr>
    </w:p>
    <w:p w:rsidR="000C4B60" w:rsidRPr="000C4B60" w:rsidRDefault="000C4B60" w:rsidP="000C4B6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Sum up:</w:t>
      </w:r>
    </w:p>
    <w:p w:rsidR="000C4B60" w:rsidRPr="000C4B60" w:rsidRDefault="000C4B60" w:rsidP="000C4B6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szCs w:val="24"/>
          <w:lang w:val="en-US" w:eastAsia="da-DK"/>
        </w:rPr>
      </w:pPr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It is an okay report - you answer all your questions in the exercise about DDS. Some correction could make vastly improvements to the general understanding of the report. </w:t>
      </w:r>
      <w:proofErr w:type="gramStart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Though</w:t>
      </w:r>
      <w:proofErr w:type="gramEnd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, the grammar and readability is good in the paper, some pictures, and a better context between the relation of the main subject, and other written subjects in this report i.e. how RPC relates to DDS.</w:t>
      </w:r>
    </w:p>
    <w:p w:rsidR="000C4B60" w:rsidRDefault="000C4B60" w:rsidP="000C4B60">
      <w:pPr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</w:pPr>
    </w:p>
    <w:p w:rsidR="007B6BFB" w:rsidRPr="000C4B60" w:rsidRDefault="000C4B60" w:rsidP="000C4B60">
      <w:pPr>
        <w:rPr>
          <w:lang w:val="en-US"/>
        </w:rPr>
      </w:pPr>
      <w:proofErr w:type="gramStart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All in all</w:t>
      </w:r>
      <w:proofErr w:type="gramEnd"/>
      <w:r w:rsidRPr="000C4B60"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,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this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>handin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n-US" w:eastAsia="da-DK"/>
        </w:rPr>
        <w:t xml:space="preserve"> is approved, but a few changes are strongly suggested.</w:t>
      </w:r>
      <w:bookmarkStart w:id="0" w:name="_GoBack"/>
      <w:bookmarkEnd w:id="0"/>
    </w:p>
    <w:sectPr w:rsidR="007B6BFB" w:rsidRPr="000C4B6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A03C8"/>
    <w:multiLevelType w:val="hybridMultilevel"/>
    <w:tmpl w:val="AD1A2A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4202"/>
    <w:multiLevelType w:val="hybridMultilevel"/>
    <w:tmpl w:val="35D20C8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600771"/>
    <w:multiLevelType w:val="multilevel"/>
    <w:tmpl w:val="364A1D7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C3A17CF"/>
    <w:multiLevelType w:val="hybridMultilevel"/>
    <w:tmpl w:val="DD6875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72847"/>
    <w:multiLevelType w:val="hybridMultilevel"/>
    <w:tmpl w:val="8112FC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60"/>
    <w:rsid w:val="000C4B60"/>
    <w:rsid w:val="007B6BFB"/>
    <w:rsid w:val="008E3B20"/>
    <w:rsid w:val="00D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C2DE5-ACD3-48B9-81B8-559288E7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BFB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FB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eastAsiaTheme="majorEastAsia" w:cs="Times New Roman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FB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C4B6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a-DK"/>
    </w:rPr>
  </w:style>
  <w:style w:type="character" w:customStyle="1" w:styleId="apple-tab-span">
    <w:name w:val="apple-tab-span"/>
    <w:basedOn w:val="DefaultParagraphFont"/>
    <w:rsid w:val="000C4B60"/>
  </w:style>
  <w:style w:type="paragraph" w:styleId="ListParagraph">
    <w:name w:val="List Paragraph"/>
    <w:basedOn w:val="Normal"/>
    <w:uiPriority w:val="34"/>
    <w:qFormat/>
    <w:rsid w:val="000C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F185D-3376-4647-972D-945B439D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Luu Tong</dc:creator>
  <cp:keywords/>
  <dc:description/>
  <cp:lastModifiedBy>Sam Luu Tong</cp:lastModifiedBy>
  <cp:revision>1</cp:revision>
  <dcterms:created xsi:type="dcterms:W3CDTF">2014-05-23T07:57:00Z</dcterms:created>
  <dcterms:modified xsi:type="dcterms:W3CDTF">2014-05-23T08:02:00Z</dcterms:modified>
</cp:coreProperties>
</file>