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both"/>
        <w:rPr>
          <w:rFonts w:ascii="標楷體" w:hAnsi="標楷體" w:eastAsia="標楷體"/>
          <w:color w:val="FF7C80"/>
          <w:szCs w:val="28"/>
        </w:rPr>
      </w:pPr>
      <w:r>
        <w:rPr>
          <w:rFonts w:ascii="標楷體" w:hAnsi="標楷體" w:eastAsia="標楷體"/>
          <w:w w:val="95"/>
          <w:sz w:val="32"/>
          <w:szCs w:val="24"/>
        </w:rPr>
        <w:t>高雄市苓雅區五權國民小學11</w:t>
      </w:r>
      <w:r>
        <w:rPr>
          <w:rFonts w:hint="eastAsia" w:ascii="標楷體" w:hAnsi="標楷體" w:eastAsia="標楷體"/>
          <w:w w:val="95"/>
          <w:sz w:val="32"/>
          <w:szCs w:val="24"/>
          <w:lang w:val="en-US" w:eastAsia="zh-TW"/>
        </w:rPr>
        <w:t>5</w:t>
      </w:r>
      <w:r>
        <w:rPr>
          <w:rFonts w:ascii="標楷體" w:hAnsi="標楷體" w:eastAsia="標楷體"/>
          <w:w w:val="95"/>
          <w:sz w:val="32"/>
          <w:szCs w:val="24"/>
        </w:rPr>
        <w:t>學年度</w:t>
      </w:r>
      <w:r>
        <w:rPr>
          <w:rFonts w:hint="eastAsia" w:ascii="標楷體" w:hAnsi="標楷體" w:eastAsia="標楷體"/>
          <w:w w:val="95"/>
          <w:sz w:val="32"/>
          <w:szCs w:val="24"/>
        </w:rPr>
        <w:t>分</w:t>
      </w:r>
      <w:r>
        <w:rPr>
          <w:rFonts w:ascii="標楷體" w:hAnsi="標楷體" w:eastAsia="標楷體"/>
          <w:w w:val="95"/>
          <w:sz w:val="32"/>
          <w:szCs w:val="24"/>
        </w:rPr>
        <w:t>散式資源班</w:t>
      </w:r>
      <w:r>
        <w:rPr>
          <w:rFonts w:hint="eastAsia" w:ascii="標楷體" w:hAnsi="標楷體" w:eastAsia="標楷體"/>
          <w:sz w:val="32"/>
          <w:szCs w:val="24"/>
        </w:rPr>
        <w:t>課程進度計畫表</w:t>
      </w:r>
    </w:p>
    <w:tbl>
      <w:tblPr>
        <w:tblStyle w:val="8"/>
        <w:tblW w:w="1020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275"/>
        <w:gridCol w:w="1933"/>
        <w:gridCol w:w="194"/>
        <w:gridCol w:w="425"/>
        <w:gridCol w:w="851"/>
        <w:gridCol w:w="488"/>
        <w:gridCol w:w="2200"/>
        <w:gridCol w:w="1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268" w:type="dxa"/>
            <w:gridSpan w:val="2"/>
            <w:vMerge w:val="restart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5</w:t>
            </w:r>
            <w:r>
              <w:rPr>
                <w:rFonts w:hint="eastAsia" w:ascii="標楷體" w:hAnsi="標楷體" w:eastAsia="標楷體"/>
                <w:szCs w:val="28"/>
              </w:rPr>
              <w:t>學年度</w:t>
            </w:r>
            <w:r>
              <w:rPr>
                <w:rFonts w:ascii="標楷體" w:hAnsi="標楷體" w:eastAsia="標楷體"/>
                <w:szCs w:val="28"/>
              </w:rPr>
              <w:br w:type="textWrapping"/>
            </w:r>
            <w:r>
              <w:rPr>
                <w:rFonts w:hint="eastAsia" w:ascii="標楷體" w:hAnsi="標楷體" w:eastAsia="標楷體"/>
                <w:szCs w:val="28"/>
              </w:rPr>
              <w:t>第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2</w:t>
            </w:r>
            <w:r>
              <w:rPr>
                <w:rFonts w:hint="eastAsia" w:ascii="標楷體" w:hAnsi="標楷體" w:eastAsia="標楷體"/>
                <w:szCs w:val="28"/>
              </w:rPr>
              <w:t>學期</w:t>
            </w:r>
          </w:p>
        </w:tc>
        <w:tc>
          <w:tcPr>
            <w:tcW w:w="1933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領域/科目</w:t>
            </w:r>
          </w:p>
        </w:tc>
        <w:tc>
          <w:tcPr>
            <w:tcW w:w="1958" w:type="dxa"/>
            <w:gridSpan w:val="4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每週節數</w:t>
            </w:r>
          </w:p>
        </w:tc>
        <w:tc>
          <w:tcPr>
            <w:tcW w:w="2200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班級/組別</w:t>
            </w:r>
          </w:p>
        </w:tc>
        <w:tc>
          <w:tcPr>
            <w:tcW w:w="184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授課教師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2268" w:type="dxa"/>
            <w:gridSpan w:val="2"/>
            <w:vMerge w:val="continue"/>
            <w:tcBorders>
              <w:bottom w:val="nil"/>
            </w:tcBorders>
            <w:shd w:val="clear" w:color="auto" w:fill="FFFFFF" w:themeFill="background1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933" w:type="dxa"/>
            <w:tcBorders>
              <w:bottom w:val="single" w:color="auto" w:sz="18" w:space="0"/>
            </w:tcBorders>
            <w:vAlign w:val="center"/>
          </w:tcPr>
          <w:p>
            <w:pPr>
              <w:pStyle w:val="12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特殊需求</w:t>
            </w:r>
          </w:p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  <w:t>社會技巧</w:t>
            </w:r>
          </w:p>
        </w:tc>
        <w:tc>
          <w:tcPr>
            <w:tcW w:w="1958" w:type="dxa"/>
            <w:gridSpan w:val="4"/>
            <w:tcBorders>
              <w:bottom w:val="single" w:color="auto" w:sz="18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</w:p>
        </w:tc>
        <w:tc>
          <w:tcPr>
            <w:tcW w:w="2200" w:type="dxa"/>
            <w:tcBorders>
              <w:bottom w:val="single" w:color="auto" w:sz="18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3</w:t>
            </w:r>
            <w:r>
              <w:rPr>
                <w:rFonts w:hint="eastAsia" w:ascii="標楷體" w:hAnsi="標楷體" w:eastAsia="標楷體"/>
                <w:szCs w:val="28"/>
              </w:rPr>
              <w:t>年級</w:t>
            </w:r>
          </w:p>
        </w:tc>
        <w:tc>
          <w:tcPr>
            <w:tcW w:w="1848" w:type="dxa"/>
            <w:tcBorders>
              <w:bottom w:val="single" w:color="auto" w:sz="18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李憓璇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restart"/>
            <w:tcBorders>
              <w:top w:val="single" w:color="auto" w:sz="18" w:space="0"/>
              <w:lef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核心</w:t>
            </w:r>
          </w:p>
          <w:p>
            <w:pPr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素養</w:t>
            </w:r>
          </w:p>
        </w:tc>
        <w:tc>
          <w:tcPr>
            <w:tcW w:w="1275" w:type="dxa"/>
            <w:tcBorders>
              <w:top w:val="single" w:color="auto" w:sz="18" w:space="0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A自主行動</w:t>
            </w:r>
          </w:p>
        </w:tc>
        <w:tc>
          <w:tcPr>
            <w:tcW w:w="7939" w:type="dxa"/>
            <w:gridSpan w:val="7"/>
            <w:tcBorders>
              <w:top w:val="single" w:color="auto" w:sz="18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■A1身心素質與自我精進　■A2系統思考與問題解決A3□規劃執行與創新應變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tcBorders>
              <w:left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exact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B溝通互動</w:t>
            </w:r>
          </w:p>
        </w:tc>
        <w:tc>
          <w:tcPr>
            <w:tcW w:w="7939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■B1符號運用與溝通表達　□B2科技資訊與媒體素養B3□藝術涵養與美感素養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tcBorders>
              <w:left w:val="single" w:color="auto" w:sz="4" w:space="0"/>
              <w:bottom w:val="single" w:color="auto" w:sz="18" w:space="0"/>
            </w:tcBorders>
            <w:shd w:val="clear" w:color="auto" w:fill="D8D8D8" w:themeFill="background1" w:themeFillShade="D9"/>
          </w:tcPr>
          <w:p>
            <w:pPr>
              <w:spacing w:line="360" w:lineRule="exact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color="auto" w:sz="18" w:space="0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C社會參與</w:t>
            </w:r>
          </w:p>
        </w:tc>
        <w:tc>
          <w:tcPr>
            <w:tcW w:w="7939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■C1道德實踐與公民意識　■C2人際關係與團隊合作C3□多元文化與國際理解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993" w:type="dxa"/>
            <w:tcBorders>
              <w:top w:val="single" w:color="auto" w:sz="18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學習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表現</w:t>
            </w:r>
          </w:p>
        </w:tc>
        <w:tc>
          <w:tcPr>
            <w:tcW w:w="9214" w:type="dxa"/>
            <w:gridSpan w:val="8"/>
            <w:tcBorders>
              <w:top w:val="single" w:color="auto" w:sz="18" w:space="0"/>
            </w:tcBorders>
          </w:tcPr>
          <w:p>
            <w:pPr>
              <w:shd w:val="clear" w:color="auto" w:fill="FFFFFF"/>
              <w:suppressAutoHyphens/>
              <w:snapToGrid w:val="0"/>
              <w:spacing w:line="280" w:lineRule="atLeast"/>
              <w:ind w:left="658" w:hanging="657" w:hangingChars="286"/>
              <w:jc w:val="both"/>
              <w:rPr>
                <w:rFonts w:ascii="標楷體" w:eastAsia="標楷體" w:cs="標楷體"/>
                <w:kern w:val="0"/>
                <w:sz w:val="23"/>
                <w:szCs w:val="23"/>
              </w:rPr>
            </w:pPr>
            <w:r>
              <w:rPr>
                <w:rFonts w:hint="eastAsia" w:ascii="標楷體" w:eastAsia="標楷體" w:cs="標楷體"/>
                <w:kern w:val="0"/>
                <w:sz w:val="23"/>
                <w:szCs w:val="23"/>
              </w:rPr>
              <w:t>特社</w:t>
            </w:r>
            <w:r>
              <w:rPr>
                <w:rFonts w:ascii="標楷體" w:eastAsia="標楷體" w:cs="標楷體"/>
                <w:kern w:val="0"/>
                <w:sz w:val="23"/>
                <w:szCs w:val="23"/>
              </w:rPr>
              <w:t xml:space="preserve">1-II-1 </w:t>
            </w:r>
            <w:r>
              <w:rPr>
                <w:rFonts w:hint="eastAsia" w:ascii="標楷體" w:eastAsia="標楷體" w:cs="標楷體"/>
                <w:kern w:val="0"/>
                <w:sz w:val="23"/>
                <w:szCs w:val="23"/>
              </w:rPr>
              <w:t>嘗試因應與處理基本的情緒及壓力。</w:t>
            </w:r>
            <w:r>
              <w:rPr>
                <w:rFonts w:ascii="標楷體" w:eastAsia="標楷體" w:cs="標楷體"/>
                <w:kern w:val="0"/>
                <w:sz w:val="23"/>
                <w:szCs w:val="23"/>
              </w:rPr>
              <w:t xml:space="preserve"> </w:t>
            </w:r>
          </w:p>
          <w:p>
            <w:pPr>
              <w:shd w:val="clear" w:color="auto" w:fill="FFFFFF"/>
              <w:suppressAutoHyphens/>
              <w:snapToGrid w:val="0"/>
              <w:spacing w:line="280" w:lineRule="atLeast"/>
              <w:ind w:left="658" w:hanging="657" w:hangingChars="286"/>
              <w:jc w:val="both"/>
              <w:rPr>
                <w:rFonts w:ascii="標楷體" w:eastAsia="標楷體" w:cs="標楷體"/>
                <w:kern w:val="0"/>
                <w:sz w:val="23"/>
                <w:szCs w:val="23"/>
              </w:rPr>
            </w:pPr>
            <w:r>
              <w:rPr>
                <w:rFonts w:hint="eastAsia" w:ascii="標楷體" w:eastAsia="標楷體" w:cs="標楷體"/>
                <w:kern w:val="0"/>
                <w:sz w:val="23"/>
                <w:szCs w:val="23"/>
              </w:rPr>
              <w:t>特社</w:t>
            </w:r>
            <w:r>
              <w:rPr>
                <w:rFonts w:ascii="標楷體" w:eastAsia="標楷體" w:cs="標楷體"/>
                <w:kern w:val="0"/>
                <w:sz w:val="23"/>
                <w:szCs w:val="23"/>
              </w:rPr>
              <w:t xml:space="preserve">1-II-3 </w:t>
            </w:r>
            <w:r>
              <w:rPr>
                <w:rFonts w:hint="eastAsia" w:ascii="標楷體" w:eastAsia="標楷體" w:cs="標楷體"/>
                <w:kern w:val="0"/>
                <w:sz w:val="23"/>
                <w:szCs w:val="23"/>
              </w:rPr>
              <w:t>在成人的引導下擬訂解決問題的計畫。</w:t>
            </w:r>
            <w:r>
              <w:rPr>
                <w:rFonts w:ascii="標楷體" w:eastAsia="標楷體" w:cs="標楷體"/>
                <w:kern w:val="0"/>
                <w:sz w:val="23"/>
                <w:szCs w:val="23"/>
              </w:rPr>
              <w:t xml:space="preserve"> </w:t>
            </w:r>
          </w:p>
          <w:p>
            <w:pPr>
              <w:shd w:val="clear" w:color="auto" w:fill="FFFFFF"/>
              <w:suppressAutoHyphens/>
              <w:snapToGrid w:val="0"/>
              <w:spacing w:line="280" w:lineRule="atLeast"/>
              <w:ind w:left="686" w:hanging="686" w:hangingChars="286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</w:t>
            </w:r>
            <w:r>
              <w:rPr>
                <w:rFonts w:ascii="標楷體" w:hAnsi="標楷體" w:eastAsia="標楷體"/>
                <w:szCs w:val="24"/>
              </w:rPr>
              <w:t xml:space="preserve">2-II-1 </w:t>
            </w:r>
            <w:r>
              <w:rPr>
                <w:rFonts w:hint="eastAsia" w:ascii="標楷體" w:hAnsi="標楷體" w:eastAsia="標楷體"/>
                <w:szCs w:val="24"/>
              </w:rPr>
              <w:t>解讀他人口語與非口語溝通的情緒及目的，並反思自己是否有應留意或改</w:t>
            </w:r>
          </w:p>
          <w:p>
            <w:pPr>
              <w:shd w:val="clear" w:color="auto" w:fill="FFFFFF"/>
              <w:suppressAutoHyphens/>
              <w:snapToGrid w:val="0"/>
              <w:spacing w:line="280" w:lineRule="atLeast"/>
              <w:ind w:left="686" w:hanging="686" w:hangingChars="286"/>
              <w:jc w:val="both"/>
              <w:rPr>
                <w:rFonts w:hint="eastAsia"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善之處。</w:t>
            </w:r>
            <w:r>
              <w:rPr>
                <w:rFonts w:ascii="標楷體" w:hAnsi="標楷體" w:eastAsia="標楷體"/>
                <w:szCs w:val="24"/>
              </w:rPr>
              <w:t xml:space="preserve"> </w:t>
            </w:r>
          </w:p>
          <w:p>
            <w:pPr>
              <w:shd w:val="clear" w:color="auto" w:fill="FFFFFF"/>
              <w:suppressAutoHyphens/>
              <w:snapToGrid w:val="0"/>
              <w:spacing w:line="280" w:lineRule="atLeast"/>
              <w:ind w:left="686" w:hanging="686" w:hangingChars="286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</w:t>
            </w:r>
            <w:r>
              <w:rPr>
                <w:rFonts w:ascii="標楷體" w:hAnsi="標楷體" w:eastAsia="標楷體"/>
                <w:szCs w:val="24"/>
              </w:rPr>
              <w:t xml:space="preserve">2-II-3 </w:t>
            </w:r>
            <w:r>
              <w:rPr>
                <w:rFonts w:hint="eastAsia" w:ascii="標楷體" w:hAnsi="標楷體" w:eastAsia="標楷體"/>
                <w:szCs w:val="24"/>
              </w:rPr>
              <w:t>遵守團體規範，並依情境回應他人的邀請或主動加入團體。</w:t>
            </w:r>
            <w:r>
              <w:rPr>
                <w:rFonts w:ascii="標楷體" w:hAnsi="標楷體" w:eastAsia="標楷體"/>
                <w:szCs w:val="24"/>
              </w:rPr>
              <w:t xml:space="preserve"> </w:t>
            </w:r>
          </w:p>
          <w:p>
            <w:pPr>
              <w:shd w:val="clear" w:color="auto" w:fill="FFFFFF"/>
              <w:suppressAutoHyphens/>
              <w:snapToGrid w:val="0"/>
              <w:spacing w:line="280" w:lineRule="atLeast"/>
              <w:ind w:left="686" w:hanging="686" w:hangingChars="286"/>
              <w:jc w:val="both"/>
              <w:rPr>
                <w:rFonts w:hint="eastAsia"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</w:t>
            </w:r>
            <w:r>
              <w:rPr>
                <w:rFonts w:ascii="標楷體" w:hAnsi="標楷體" w:eastAsia="標楷體"/>
                <w:szCs w:val="24"/>
              </w:rPr>
              <w:t xml:space="preserve">2-II-4 </w:t>
            </w:r>
            <w:r>
              <w:rPr>
                <w:rFonts w:hint="eastAsia" w:ascii="標楷體" w:hAnsi="標楷體" w:eastAsia="標楷體"/>
                <w:szCs w:val="24"/>
              </w:rPr>
              <w:t>分辨與採用適當的方式解決衝突，並能理性評估和接受衝突的後果。</w:t>
            </w:r>
            <w:r>
              <w:rPr>
                <w:rFonts w:ascii="標楷體" w:hAnsi="標楷體" w:eastAsia="標楷體"/>
                <w:szCs w:val="24"/>
              </w:rPr>
              <w:t xml:space="preserve"> </w:t>
            </w:r>
          </w:p>
          <w:p>
            <w:pPr>
              <w:shd w:val="clear" w:color="auto" w:fill="FFFFFF"/>
              <w:suppressAutoHyphens/>
              <w:snapToGrid w:val="0"/>
              <w:spacing w:line="280" w:lineRule="atLeast"/>
              <w:ind w:left="686" w:hanging="686" w:hangingChars="286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 xml:space="preserve">特社3-II-1 在課堂或小組討論中適當表達與回應意見。 </w:t>
            </w:r>
          </w:p>
          <w:p>
            <w:pPr>
              <w:shd w:val="clear" w:color="auto" w:fill="FFFFFF"/>
              <w:suppressAutoHyphens/>
              <w:snapToGrid w:val="0"/>
              <w:spacing w:line="280" w:lineRule="atLeast"/>
              <w:ind w:left="686" w:hanging="686" w:hangingChars="286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 xml:space="preserve">特社3-II-2 在小組中分工合作完成自己的工作。 </w:t>
            </w:r>
          </w:p>
          <w:p>
            <w:pPr>
              <w:shd w:val="clear" w:color="auto" w:fill="FFFFFF"/>
              <w:suppressAutoHyphens/>
              <w:snapToGrid w:val="0"/>
              <w:spacing w:line="280" w:lineRule="atLeast"/>
              <w:ind w:left="686" w:hanging="686" w:hangingChars="286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 xml:space="preserve">特社3-II-3 在監督或協助下完成複雜的工作。 </w:t>
            </w:r>
          </w:p>
          <w:p>
            <w:pPr>
              <w:shd w:val="clear" w:color="auto" w:fill="FFFFFF"/>
              <w:suppressAutoHyphens/>
              <w:snapToGrid w:val="0"/>
              <w:spacing w:line="280" w:lineRule="atLeast"/>
              <w:ind w:left="686" w:hanging="686" w:hangingChars="286"/>
              <w:jc w:val="both"/>
              <w:rPr>
                <w:rFonts w:hint="eastAsia" w:ascii="標楷體" w:hAnsi="標楷體" w:eastAsia="標楷體"/>
                <w:color w:val="FF7C80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 xml:space="preserve">特社3-II-4 遇到困難時，具體說明需要的協助。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993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學習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內容</w:t>
            </w:r>
          </w:p>
        </w:tc>
        <w:tc>
          <w:tcPr>
            <w:tcW w:w="9214" w:type="dxa"/>
            <w:gridSpan w:val="8"/>
          </w:tcPr>
          <w:p>
            <w:pPr>
              <w:rPr>
                <w:rFonts w:ascii="標楷體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  <w:t>特社</w:t>
            </w:r>
            <w:r>
              <w:rPr>
                <w:rFonts w:ascii="標楷體" w:eastAsia="標楷體" w:cs="標楷體"/>
                <w:color w:val="000000"/>
                <w:kern w:val="0"/>
                <w:sz w:val="23"/>
                <w:szCs w:val="23"/>
              </w:rPr>
              <w:t>A-</w:t>
            </w:r>
            <w: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  <w:t>Ⅱ</w:t>
            </w:r>
            <w:r>
              <w:rPr>
                <w:rFonts w:ascii="標楷體" w:eastAsia="標楷體" w:cs="標楷體"/>
                <w:color w:val="000000"/>
                <w:kern w:val="0"/>
                <w:sz w:val="23"/>
                <w:szCs w:val="23"/>
              </w:rPr>
              <w:t xml:space="preserve">-1 </w:t>
            </w:r>
            <w: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  <w:t>基本情緒的表達。</w:t>
            </w:r>
            <w:r>
              <w:rPr>
                <w:rFonts w:ascii="標楷體" w:eastAsia="標楷體" w:cs="標楷體"/>
                <w:color w:val="000000"/>
                <w:kern w:val="0"/>
                <w:sz w:val="23"/>
                <w:szCs w:val="23"/>
              </w:rPr>
              <w:t xml:space="preserve"> </w:t>
            </w:r>
          </w:p>
          <w:p>
            <w:pPr>
              <w:rPr>
                <w:rFonts w:ascii="標楷體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  <w:t>特社</w:t>
            </w:r>
            <w:r>
              <w:rPr>
                <w:rFonts w:ascii="標楷體" w:eastAsia="標楷體" w:cs="標楷體"/>
                <w:color w:val="000000"/>
                <w:kern w:val="0"/>
                <w:sz w:val="23"/>
                <w:szCs w:val="23"/>
              </w:rPr>
              <w:t>A-</w:t>
            </w:r>
            <w: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  <w:t>Ⅱ</w:t>
            </w:r>
            <w:r>
              <w:rPr>
                <w:rFonts w:ascii="標楷體" w:eastAsia="標楷體" w:cs="標楷體"/>
                <w:color w:val="000000"/>
                <w:kern w:val="0"/>
                <w:sz w:val="23"/>
                <w:szCs w:val="23"/>
              </w:rPr>
              <w:t xml:space="preserve">-2 </w:t>
            </w:r>
            <w: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  <w:t>壓力源的評估與處理。</w:t>
            </w:r>
            <w:r>
              <w:rPr>
                <w:rFonts w:ascii="標楷體" w:eastAsia="標楷體" w:cs="標楷體"/>
                <w:color w:val="000000"/>
                <w:kern w:val="0"/>
                <w:sz w:val="23"/>
                <w:szCs w:val="23"/>
              </w:rPr>
              <w:t xml:space="preserve"> </w:t>
            </w:r>
          </w:p>
          <w:p>
            <w:pPr>
              <w:rPr>
                <w:rFonts w:ascii="標楷體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  <w:t xml:space="preserve">特社B-Ⅱ-1 訊息解讀的技巧。 </w:t>
            </w:r>
          </w:p>
          <w:p>
            <w:pPr>
              <w:rPr>
                <w:rFonts w:ascii="標楷體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  <w:t xml:space="preserve">特社B-Ⅱ-2 表達與傾聽的時機。 </w:t>
            </w:r>
          </w:p>
          <w:p>
            <w:pPr>
              <w:rPr>
                <w:rFonts w:ascii="標楷體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  <w:t xml:space="preserve">特社B-Ⅱ-3 團體的基本規範。 </w:t>
            </w:r>
          </w:p>
          <w:p>
            <w:pP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eastAsia="標楷體" w:cs="標楷體"/>
                <w:color w:val="000000"/>
                <w:kern w:val="0"/>
                <w:sz w:val="23"/>
                <w:szCs w:val="23"/>
              </w:rPr>
              <w:t xml:space="preserve">特社B-Ⅱ-4 衝突情境的因應。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993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融入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議題</w:t>
            </w:r>
          </w:p>
        </w:tc>
        <w:tc>
          <w:tcPr>
            <w:tcW w:w="9214" w:type="dxa"/>
            <w:gridSpan w:val="8"/>
          </w:tcPr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□家庭教育　■生命教育　■品德教育　■人權教育　□法治教育　■性別平等教育</w:t>
            </w:r>
          </w:p>
          <w:p>
            <w:pPr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□環境教育　□海洋教育　□能源教育　□資訊教育　□科技教育　□原住民族教育</w:t>
            </w:r>
          </w:p>
          <w:p>
            <w:pPr>
              <w:rPr>
                <w:rFonts w:ascii="標楷體" w:hAnsi="標楷體" w:eastAsia="標楷體"/>
                <w:color w:val="FF6699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□安全教育　□戶外教育　□國際教育　□多元文化　□生涯規劃　□閱讀素養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993" w:type="dxa"/>
            <w:vMerge w:val="restart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教學與評量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說明</w:t>
            </w:r>
          </w:p>
        </w:tc>
        <w:tc>
          <w:tcPr>
            <w:tcW w:w="127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教材編輯與資源</w:t>
            </w:r>
          </w:p>
        </w:tc>
        <w:tc>
          <w:tcPr>
            <w:tcW w:w="2127" w:type="dxa"/>
            <w:gridSpan w:val="2"/>
            <w:vAlign w:val="center"/>
          </w:tcPr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  版第 冊</w:t>
            </w:r>
          </w:p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■自編教材</w:t>
            </w:r>
          </w:p>
          <w:p>
            <w:pPr>
              <w:pStyle w:val="3"/>
              <w:snapToGrid w:val="0"/>
              <w:spacing w:line="280" w:lineRule="atLeast"/>
              <w:jc w:val="both"/>
              <w:rPr>
                <w:rFonts w:eastAsia="標楷體" w:asciiTheme="minorHAnsi" w:hAnsiTheme="minorHAnsi" w:cstheme="minorHAnsi"/>
                <w:sz w:val="20"/>
                <w:szCs w:val="20"/>
              </w:rPr>
            </w:pPr>
            <w:r>
              <w:rPr>
                <w:rFonts w:hint="eastAsia" w:eastAsia="標楷體"/>
              </w:rPr>
              <w:t>(1)</w:t>
            </w:r>
            <w:r>
              <w:rPr>
                <w:rFonts w:hint="eastAsia" w:eastAsia="標楷體" w:asciiTheme="minorHAnsi" w:hAnsiTheme="minorHAnsi" w:cstheme="minorHAnsi"/>
                <w:sz w:val="20"/>
                <w:szCs w:val="20"/>
              </w:rPr>
              <w:t>特教教材資料庫。</w:t>
            </w:r>
          </w:p>
          <w:p>
            <w:pPr>
              <w:jc w:val="both"/>
              <w:rPr>
                <w:rFonts w:eastAsia="標楷體" w:cstheme="minorHAnsi"/>
                <w:sz w:val="20"/>
                <w:szCs w:val="20"/>
              </w:rPr>
            </w:pPr>
            <w:r>
              <w:rPr>
                <w:rFonts w:hint="eastAsia" w:eastAsia="標楷體" w:cstheme="minorHAnsi"/>
                <w:sz w:val="20"/>
                <w:szCs w:val="20"/>
              </w:rPr>
              <w:t>(2)</w:t>
            </w:r>
            <w:r>
              <w:rPr>
                <w:rFonts w:eastAsia="標楷體" w:cstheme="minorHAnsi"/>
                <w:sz w:val="20"/>
                <w:szCs w:val="20"/>
              </w:rPr>
              <w:t>Autism學生社會技巧課程設計</w:t>
            </w:r>
          </w:p>
          <w:p>
            <w:pPr>
              <w:ind w:left="220" w:hanging="220" w:hangingChars="100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(3)</w:t>
            </w:r>
            <w:r>
              <w:rPr>
                <w:rFonts w:ascii="標楷體" w:hAnsi="標楷體" w:eastAsia="標楷體"/>
                <w:sz w:val="22"/>
                <w:szCs w:val="28"/>
              </w:rPr>
              <w:t>SuperSkill</w:t>
            </w:r>
          </w:p>
          <w:p>
            <w:pPr>
              <w:jc w:val="both"/>
              <w:rPr>
                <w:rFonts w:hint="eastAsia"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(4)桌遊應用</w:t>
            </w:r>
          </w:p>
        </w:tc>
        <w:tc>
          <w:tcPr>
            <w:tcW w:w="1276" w:type="dxa"/>
            <w:gridSpan w:val="2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課程調整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原則</w:t>
            </w:r>
          </w:p>
        </w:tc>
        <w:tc>
          <w:tcPr>
            <w:tcW w:w="4536" w:type="dxa"/>
            <w:gridSpan w:val="3"/>
            <w:vAlign w:val="center"/>
          </w:tcPr>
          <w:p>
            <w:pPr>
              <w:jc w:val="both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■簡化　□減量　■分解　■替代　□重整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  <w:jc w:val="center"/>
        </w:trPr>
        <w:tc>
          <w:tcPr>
            <w:tcW w:w="993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教學方法</w:t>
            </w:r>
          </w:p>
        </w:tc>
        <w:tc>
          <w:tcPr>
            <w:tcW w:w="7939" w:type="dxa"/>
            <w:gridSpan w:val="7"/>
            <w:vAlign w:val="center"/>
          </w:tcPr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■直接教學　■工作分析　□交互教學　□結構教學　■問題解決　□合作學習</w:t>
            </w:r>
          </w:p>
          <w:p>
            <w:pPr>
              <w:jc w:val="both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□協同教學　□多層次教學　□其他：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993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教學評量</w:t>
            </w:r>
          </w:p>
        </w:tc>
        <w:tc>
          <w:tcPr>
            <w:tcW w:w="7939" w:type="dxa"/>
            <w:gridSpan w:val="7"/>
            <w:vAlign w:val="center"/>
          </w:tcPr>
          <w:p>
            <w:pPr>
              <w:jc w:val="both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■紙筆評量　□檔案評量　■口語評量　■實作評量　□其他：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993" w:type="dxa"/>
            <w:tcBorders>
              <w:top w:val="single" w:color="auto" w:sz="18" w:space="0"/>
              <w:bottom w:val="single" w:color="000000" w:sz="18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週次</w:t>
            </w:r>
          </w:p>
        </w:tc>
        <w:tc>
          <w:tcPr>
            <w:tcW w:w="3827" w:type="dxa"/>
            <w:gridSpan w:val="4"/>
            <w:tcBorders>
              <w:top w:val="single" w:color="auto" w:sz="18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單元名稱</w:t>
            </w:r>
          </w:p>
        </w:tc>
        <w:tc>
          <w:tcPr>
            <w:tcW w:w="5387" w:type="dxa"/>
            <w:gridSpan w:val="4"/>
            <w:tcBorders>
              <w:top w:val="single" w:color="auto" w:sz="18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單元內容/教學重點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993" w:type="dxa"/>
            <w:tcBorders>
              <w:top w:val="single" w:color="000000" w:sz="18" w:space="0"/>
              <w:bottom w:val="single" w:color="000000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</w:t>
            </w:r>
          </w:p>
        </w:tc>
        <w:tc>
          <w:tcPr>
            <w:tcW w:w="3827" w:type="dxa"/>
            <w:gridSpan w:val="4"/>
            <w:vMerge w:val="restart"/>
            <w:tcBorders>
              <w:top w:val="single" w:color="auto" w:sz="18" w:space="0"/>
              <w:bottom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snapToGrid w:val="0"/>
              <w:spacing w:before="180" w:beforeLines="50" w:after="180" w:afterLines="50" w:line="300" w:lineRule="exact"/>
              <w:jc w:val="center"/>
              <w:rPr>
                <w:rFonts w:eastAsia="標楷體" w:cstheme="minorHAnsi"/>
                <w:b/>
                <w:bCs/>
                <w:kern w:val="0"/>
              </w:rPr>
            </w:pPr>
            <w:r>
              <w:rPr>
                <w:rFonts w:eastAsia="標楷體" w:cstheme="minorHAnsi"/>
                <w:b/>
                <w:bCs/>
                <w:kern w:val="0"/>
              </w:rPr>
              <w:t>快樂上學趣</w:t>
            </w:r>
            <w:r>
              <w:rPr>
                <w:rFonts w:hint="eastAsia" w:eastAsia="標楷體" w:cstheme="minorHAnsi"/>
                <w:b/>
                <w:bCs/>
                <w:kern w:val="0"/>
              </w:rPr>
              <w:t>(</w:t>
            </w:r>
            <w:r>
              <w:rPr>
                <w:rFonts w:hint="eastAsia" w:eastAsia="標楷體" w:cstheme="minorHAnsi"/>
                <w:b/>
                <w:bCs/>
                <w:kern w:val="0"/>
                <w:lang w:eastAsia="zh-TW"/>
              </w:rPr>
              <w:t>三</w:t>
            </w:r>
            <w:r>
              <w:rPr>
                <w:rFonts w:hint="eastAsia" w:eastAsia="標楷體" w:cstheme="minorHAnsi"/>
                <w:b/>
                <w:bCs/>
                <w:kern w:val="0"/>
                <w:lang w:val="en-US" w:eastAsia="zh-TW"/>
              </w:rPr>
              <w:t>-2</w:t>
            </w:r>
            <w:r>
              <w:rPr>
                <w:rFonts w:hint="eastAsia" w:eastAsia="標楷體" w:cstheme="minorHAnsi"/>
                <w:b/>
                <w:bCs/>
                <w:kern w:val="0"/>
              </w:rPr>
              <w:t>)</w:t>
            </w:r>
          </w:p>
          <w:p>
            <w:pPr>
              <w:jc w:val="center"/>
              <w:rPr>
                <w:rFonts w:hint="eastAsia" w:ascii="標楷體" w:hAnsi="標楷體" w:eastAsia="標楷體"/>
                <w:szCs w:val="28"/>
              </w:rPr>
            </w:pPr>
            <w:r>
              <w:rPr>
                <w:rFonts w:hint="eastAsia" w:eastAsia="標楷體" w:cstheme="minorHAnsi"/>
                <w:b/>
                <w:bCs/>
                <w:kern w:val="0"/>
              </w:rPr>
              <w:t>【教室</w:t>
            </w:r>
            <w:r>
              <w:rPr>
                <w:rFonts w:eastAsia="標楷體" w:cstheme="minorHAnsi"/>
                <w:b/>
                <w:bCs/>
                <w:kern w:val="0"/>
              </w:rPr>
              <w:t>規則</w:t>
            </w:r>
            <w:r>
              <w:rPr>
                <w:rFonts w:hint="eastAsia" w:eastAsia="標楷體" w:cstheme="minorHAnsi"/>
                <w:b/>
                <w:bCs/>
                <w:kern w:val="0"/>
                <w:lang w:eastAsia="zh-TW"/>
              </w:rPr>
              <w:t>說明</w:t>
            </w:r>
            <w:r>
              <w:rPr>
                <w:rFonts w:hint="eastAsia" w:eastAsia="標楷體" w:cstheme="minorHAnsi"/>
                <w:b/>
                <w:bCs/>
                <w:kern w:val="0"/>
                <w:lang w:val="en-US" w:eastAsia="zh-TW"/>
              </w:rPr>
              <w:t>/課程</w:t>
            </w:r>
            <w:r>
              <w:rPr>
                <w:rFonts w:hint="eastAsia" w:eastAsia="標楷體" w:cstheme="minorHAnsi"/>
                <w:b/>
                <w:bCs/>
                <w:kern w:val="0"/>
                <w:lang w:eastAsia="zh-TW"/>
              </w:rPr>
              <w:t>暖身</w:t>
            </w:r>
            <w:r>
              <w:rPr>
                <w:rFonts w:hint="eastAsia" w:eastAsia="標楷體" w:cstheme="minorHAnsi"/>
                <w:b/>
                <w:bCs/>
                <w:kern w:val="0"/>
              </w:rPr>
              <w:t>】</w:t>
            </w:r>
          </w:p>
        </w:tc>
        <w:tc>
          <w:tcPr>
            <w:tcW w:w="5387" w:type="dxa"/>
            <w:gridSpan w:val="4"/>
            <w:vMerge w:val="restart"/>
            <w:tcBorders>
              <w:top w:val="single" w:color="auto" w:sz="18" w:space="0"/>
              <w:bottom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spacing w:line="0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</w:rPr>
              <w:t>1.</w:t>
            </w:r>
            <w:r>
              <w:rPr>
                <w:rFonts w:hint="eastAsia" w:ascii="標楷體" w:hAnsi="標楷體" w:eastAsia="標楷體" w:cs="標楷體"/>
                <w:szCs w:val="24"/>
              </w:rPr>
              <w:t>重申本學期課程規劃和獎勵制度。</w:t>
            </w:r>
          </w:p>
          <w:p>
            <w:pPr>
              <w:spacing w:line="0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</w:rPr>
              <w:t>2.能在上課時安靜坐在位子上。</w:t>
            </w:r>
          </w:p>
          <w:p>
            <w:pPr>
              <w:spacing w:line="0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</w:rPr>
              <w:t>3.能在上課時專心聆聽老師的上課內容。</w:t>
            </w:r>
          </w:p>
          <w:p>
            <w:pPr>
              <w:tabs>
                <w:tab w:val="left" w:pos="827"/>
              </w:tabs>
              <w:jc w:val="left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</w:rPr>
              <w:t>4.能聆聽老師的指令做動作。</w:t>
            </w:r>
          </w:p>
          <w:p>
            <w:pPr>
              <w:jc w:val="both"/>
              <w:rPr>
                <w:rFonts w:hint="eastAsia"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 w:cs="標楷體"/>
                <w:lang w:val="en-US" w:eastAsia="zh-TW"/>
              </w:rPr>
              <w:t>5.分享寒假回憶。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993" w:type="dxa"/>
            <w:tcBorders>
              <w:top w:val="single" w:color="000000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2</w:t>
            </w:r>
          </w:p>
        </w:tc>
        <w:tc>
          <w:tcPr>
            <w:tcW w:w="3827" w:type="dxa"/>
            <w:gridSpan w:val="4"/>
            <w:vMerge w:val="continue"/>
            <w:tcBorders>
              <w:top w:val="single" w:color="000000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標楷體" w:cstheme="minorHAnsi"/>
                <w:b/>
                <w:bCs/>
                <w:kern w:val="0"/>
              </w:rPr>
            </w:pPr>
          </w:p>
        </w:tc>
        <w:tc>
          <w:tcPr>
            <w:tcW w:w="5387" w:type="dxa"/>
            <w:gridSpan w:val="4"/>
            <w:vMerge w:val="continue"/>
            <w:tcBorders>
              <w:top w:val="single" w:color="000000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both"/>
              <w:rPr>
                <w:rFonts w:hint="eastAsia" w:ascii="標楷體" w:hAnsi="標楷體" w:eastAsia="標楷體" w:cs="標楷體"/>
                <w:lang w:val="en-US" w:eastAsia="zh-T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3</w:t>
            </w:r>
          </w:p>
        </w:tc>
        <w:tc>
          <w:tcPr>
            <w:tcW w:w="3827" w:type="dxa"/>
            <w:gridSpan w:val="4"/>
            <w:vMerge w:val="restart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標楷體" w:cstheme="minorHAnsi"/>
                <w:b/>
                <w:bCs/>
                <w:kern w:val="0"/>
                <w:lang w:val="en-US" w:eastAsia="zh-TW"/>
              </w:rPr>
            </w:pPr>
            <w:r>
              <w:rPr>
                <w:rFonts w:hint="eastAsia" w:eastAsia="標楷體" w:cstheme="minorHAnsi"/>
                <w:b/>
                <w:bCs/>
                <w:kern w:val="0"/>
                <w:lang w:eastAsia="zh-TW"/>
              </w:rPr>
              <w:t>歡迎來到我的萬能城堡</w:t>
            </w:r>
            <w:r>
              <w:rPr>
                <w:rFonts w:hint="eastAsia" w:eastAsia="標楷體" w:cstheme="minorHAnsi"/>
                <w:b/>
                <w:bCs/>
                <w:kern w:val="0"/>
                <w:lang w:val="en-US" w:eastAsia="zh-TW"/>
              </w:rPr>
              <w:t>(二)</w:t>
            </w:r>
          </w:p>
          <w:p>
            <w:pPr>
              <w:jc w:val="center"/>
              <w:rPr>
                <w:rFonts w:hint="eastAsia" w:ascii="標楷體" w:hAnsi="標楷體" w:eastAsia="標楷體"/>
                <w:bCs/>
                <w:szCs w:val="24"/>
              </w:rPr>
            </w:pPr>
            <w:r>
              <w:rPr>
                <w:rFonts w:hint="eastAsia" w:eastAsia="標楷體" w:cstheme="minorHAnsi"/>
                <w:b/>
                <w:bCs/>
                <w:kern w:val="0"/>
                <w:lang w:val="en-US" w:eastAsia="zh-TW"/>
              </w:rPr>
              <w:t>【</w:t>
            </w:r>
            <w:r>
              <w:rPr>
                <w:rFonts w:hint="eastAsia" w:eastAsia="標楷體" w:cstheme="minorHAnsi"/>
                <w:b/>
                <w:bCs/>
                <w:kern w:val="0"/>
                <w:lang w:eastAsia="zh-TW"/>
              </w:rPr>
              <w:t>感覺情緒知多少</w:t>
            </w:r>
            <w:r>
              <w:rPr>
                <w:rFonts w:hint="eastAsia" w:eastAsia="標楷體" w:cstheme="minorHAnsi"/>
                <w:b/>
                <w:bCs/>
                <w:kern w:val="0"/>
                <w:lang w:val="en-US" w:eastAsia="zh-TW"/>
              </w:rPr>
              <w:t>】</w:t>
            </w:r>
          </w:p>
        </w:tc>
        <w:tc>
          <w:tcPr>
            <w:tcW w:w="5387" w:type="dxa"/>
            <w:gridSpan w:val="4"/>
            <w:vMerge w:val="restart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14"/>
              <w:numPr>
                <w:ilvl w:val="0"/>
                <w:numId w:val="1"/>
              </w:numPr>
              <w:suppressAutoHyphens/>
              <w:autoSpaceDN w:val="0"/>
              <w:snapToGrid w:val="0"/>
              <w:spacing w:line="280" w:lineRule="atLeast"/>
              <w:ind w:leftChars="0"/>
              <w:textAlignment w:val="baseline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sz w:val="22"/>
              </w:rPr>
              <w:t>認識感覺並學會區分生理與心理的感覺</w:t>
            </w:r>
          </w:p>
          <w:p>
            <w:pPr>
              <w:pStyle w:val="14"/>
              <w:numPr>
                <w:ilvl w:val="0"/>
                <w:numId w:val="1"/>
              </w:numPr>
              <w:suppressAutoHyphens/>
              <w:autoSpaceDN w:val="0"/>
              <w:snapToGrid w:val="0"/>
              <w:spacing w:line="280" w:lineRule="atLeast"/>
              <w:ind w:leftChars="0"/>
              <w:textAlignment w:val="baseline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sz w:val="22"/>
              </w:rPr>
              <w:t>了解情緒</w:t>
            </w:r>
            <w:r>
              <w:rPr>
                <w:rFonts w:hint="eastAsia" w:ascii="標楷體" w:hAnsi="標楷體" w:eastAsia="標楷體" w:cs="標楷體"/>
                <w:sz w:val="22"/>
                <w:lang w:eastAsia="zh-TW"/>
              </w:rPr>
              <w:t>強度</w:t>
            </w:r>
          </w:p>
          <w:p>
            <w:pPr>
              <w:pStyle w:val="14"/>
              <w:numPr>
                <w:ilvl w:val="0"/>
                <w:numId w:val="1"/>
              </w:numPr>
              <w:suppressAutoHyphens/>
              <w:autoSpaceDN w:val="0"/>
              <w:snapToGrid w:val="0"/>
              <w:spacing w:line="280" w:lineRule="atLeast"/>
              <w:ind w:leftChars="0"/>
              <w:textAlignment w:val="baseline"/>
              <w:rPr>
                <w:rFonts w:hint="eastAsia"/>
              </w:rPr>
            </w:pPr>
            <w:r>
              <w:rPr>
                <w:rFonts w:hint="eastAsia" w:ascii="標楷體" w:hAnsi="標楷體" w:eastAsia="標楷體" w:cs="標楷體"/>
                <w:sz w:val="22"/>
              </w:rPr>
              <w:t>探討情緒表達的適切性</w:t>
            </w:r>
            <w:r>
              <w:rPr>
                <w:rFonts w:hint="eastAsia" w:ascii="標楷體" w:hAnsi="標楷體" w:eastAsia="標楷體" w:cs="標楷體"/>
                <w:sz w:val="22"/>
                <w:lang w:eastAsia="zh-TW"/>
              </w:rPr>
              <w:t>與情境演練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4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2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5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2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6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2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7</w:t>
            </w:r>
          </w:p>
        </w:tc>
        <w:tc>
          <w:tcPr>
            <w:tcW w:w="3827" w:type="dxa"/>
            <w:gridSpan w:val="4"/>
            <w:vMerge w:val="restart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b/>
                <w:sz w:val="18"/>
                <w:szCs w:val="20"/>
                <w:lang w:eastAsia="zh-TW"/>
              </w:rPr>
            </w:pPr>
            <w:r>
              <w:rPr>
                <w:rFonts w:hint="eastAsia" w:ascii="標楷體" w:hAnsi="標楷體" w:eastAsia="標楷體"/>
                <w:b/>
                <w:bCs w:val="0"/>
                <w:szCs w:val="24"/>
              </w:rPr>
              <w:t>解讀肢體言語與感覺</w:t>
            </w:r>
            <w:r>
              <w:rPr>
                <w:rFonts w:hint="eastAsia" w:ascii="標楷體" w:hAnsi="標楷體" w:eastAsia="標楷體"/>
                <w:b/>
                <w:sz w:val="18"/>
                <w:szCs w:val="20"/>
                <w:lang w:eastAsia="zh-TW"/>
              </w:rPr>
              <w:t>(社交回應技能)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bCs w:val="0"/>
                <w:szCs w:val="24"/>
              </w:rPr>
            </w:pPr>
            <w:r>
              <w:rPr>
                <w:rFonts w:hint="eastAsia" w:ascii="標楷體" w:hAnsi="標楷體" w:eastAsia="標楷體"/>
                <w:b/>
                <w:sz w:val="18"/>
                <w:szCs w:val="20"/>
                <w:lang w:eastAsia="zh-TW"/>
              </w:rPr>
              <w:t>【桌由融入教學-傳情畫意】</w:t>
            </w:r>
          </w:p>
          <w:p>
            <w:pPr>
              <w:jc w:val="center"/>
              <w:rPr>
                <w:rFonts w:hint="eastAsia" w:ascii="標楷體" w:hAnsi="標楷體" w:eastAsia="標楷體"/>
                <w:bCs/>
                <w:szCs w:val="24"/>
              </w:rPr>
            </w:pPr>
          </w:p>
        </w:tc>
        <w:tc>
          <w:tcPr>
            <w:tcW w:w="5387" w:type="dxa"/>
            <w:gridSpan w:val="4"/>
            <w:vMerge w:val="restart"/>
            <w:shd w:val="clear" w:color="auto" w:fill="FFFFFF" w:themeFill="background1"/>
            <w:vAlign w:val="center"/>
          </w:tcPr>
          <w:p>
            <w:pPr>
              <w:rPr>
                <w:rFonts w:hint="eastAsia"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透過小組討論、影片與情境演練引導學生社交回應之技能，引導學生學習步驟如下:</w:t>
            </w:r>
          </w:p>
          <w:p>
            <w:pPr>
              <w:pStyle w:val="14"/>
              <w:numPr>
                <w:ilvl w:val="0"/>
                <w:numId w:val="3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尋找線索：</w:t>
            </w:r>
          </w:p>
          <w:p>
            <w:pPr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a</w:t>
            </w:r>
            <w:r>
              <w:rPr>
                <w:rFonts w:ascii="標楷體" w:hAnsi="標楷體" w:eastAsia="標楷體"/>
                <w:szCs w:val="20"/>
              </w:rPr>
              <w:t>.</w:t>
            </w:r>
            <w:r>
              <w:rPr>
                <w:rFonts w:hint="eastAsia" w:ascii="標楷體" w:hAnsi="標楷體" w:eastAsia="標楷體"/>
                <w:szCs w:val="20"/>
              </w:rPr>
              <w:t>臉部表情 b</w:t>
            </w:r>
            <w:r>
              <w:rPr>
                <w:rFonts w:ascii="標楷體" w:hAnsi="標楷體" w:eastAsia="標楷體"/>
                <w:szCs w:val="20"/>
              </w:rPr>
              <w:t>.</w:t>
            </w:r>
            <w:r>
              <w:rPr>
                <w:rFonts w:hint="eastAsia" w:ascii="標楷體" w:hAnsi="標楷體" w:eastAsia="標楷體"/>
                <w:szCs w:val="20"/>
              </w:rPr>
              <w:t xml:space="preserve">姿勢 </w:t>
            </w:r>
            <w:r>
              <w:rPr>
                <w:rFonts w:ascii="標楷體" w:hAnsi="標楷體" w:eastAsia="標楷體"/>
                <w:szCs w:val="20"/>
              </w:rPr>
              <w:t>c.</w:t>
            </w:r>
            <w:r>
              <w:rPr>
                <w:rFonts w:hint="eastAsia" w:ascii="標楷體" w:hAnsi="標楷體" w:eastAsia="標楷體"/>
                <w:szCs w:val="20"/>
              </w:rPr>
              <w:t>肢體動作</w:t>
            </w:r>
          </w:p>
          <w:p>
            <w:pPr>
              <w:pStyle w:val="14"/>
              <w:numPr>
                <w:ilvl w:val="0"/>
                <w:numId w:val="3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確認線索</w:t>
            </w:r>
          </w:p>
          <w:p>
            <w:pPr>
              <w:pStyle w:val="14"/>
              <w:numPr>
                <w:ilvl w:val="0"/>
                <w:numId w:val="3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了解線索</w:t>
            </w:r>
          </w:p>
          <w:p>
            <w:pPr>
              <w:pStyle w:val="14"/>
              <w:numPr>
                <w:ilvl w:val="0"/>
                <w:numId w:val="3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回應線索</w:t>
            </w:r>
          </w:p>
          <w:p>
            <w:pPr>
              <w:pStyle w:val="3"/>
              <w:snapToGrid w:val="0"/>
              <w:spacing w:line="280" w:lineRule="atLeast"/>
              <w:rPr>
                <w:rFonts w:hint="eastAsia"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**生活事件討論與演練</w:t>
            </w:r>
          </w:p>
          <w:p>
            <w:pPr>
              <w:pStyle w:val="3"/>
              <w:snapToGrid w:val="0"/>
              <w:spacing w:line="280" w:lineRule="atLeast"/>
              <w:rPr>
                <w:rFonts w:hint="eastAsia" w:ascii="標楷體" w:hAnsi="標楷體" w:eastAsia="標楷體"/>
                <w:szCs w:val="20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0"/>
                <w:lang w:val="en-US" w:eastAsia="zh-TW"/>
              </w:rPr>
              <w:t>**桌遊融入教學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8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2"/>
              </w:numPr>
              <w:snapToGrid w:val="0"/>
              <w:spacing w:line="280" w:lineRule="atLeast"/>
              <w:rPr>
                <w:rFonts w:ascii="標楷體" w:hAnsi="標楷體" w:eastAsia="標楷體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9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2"/>
              </w:numPr>
              <w:snapToGrid w:val="0"/>
              <w:spacing w:line="280" w:lineRule="atLeast"/>
              <w:rPr>
                <w:rFonts w:ascii="標楷體" w:hAnsi="標楷體" w:eastAsia="標楷體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10</w:t>
            </w:r>
          </w:p>
        </w:tc>
        <w:tc>
          <w:tcPr>
            <w:tcW w:w="3827" w:type="dxa"/>
            <w:gridSpan w:val="4"/>
            <w:vMerge w:val="continue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2"/>
              </w:numPr>
              <w:snapToGrid w:val="0"/>
              <w:spacing w:line="280" w:lineRule="atLeast"/>
              <w:rPr>
                <w:rFonts w:ascii="標楷體" w:hAnsi="標楷體" w:eastAsia="標楷體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11</w:t>
            </w:r>
          </w:p>
        </w:tc>
        <w:tc>
          <w:tcPr>
            <w:tcW w:w="3827" w:type="dxa"/>
            <w:gridSpan w:val="4"/>
            <w:vMerge w:val="restart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b/>
                <w:sz w:val="20"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</w:rPr>
              <w:t>處理問題</w:t>
            </w:r>
            <w:r>
              <w:rPr>
                <w:rFonts w:hint="eastAsia" w:ascii="標楷體" w:hAnsi="標楷體" w:eastAsia="標楷體"/>
                <w:b/>
                <w:sz w:val="20"/>
                <w:szCs w:val="20"/>
              </w:rPr>
              <w:t>(與他人相處的技能)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bCs w:val="0"/>
                <w:szCs w:val="24"/>
              </w:rPr>
            </w:pPr>
            <w:r>
              <w:rPr>
                <w:rFonts w:hint="eastAsia" w:ascii="標楷體" w:hAnsi="標楷體" w:eastAsia="標楷體"/>
                <w:b/>
                <w:sz w:val="18"/>
                <w:szCs w:val="20"/>
                <w:lang w:eastAsia="zh-TW"/>
              </w:rPr>
              <w:t>【桌由融入教學-猜心俱樂部】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sz w:val="20"/>
                <w:szCs w:val="20"/>
              </w:rPr>
            </w:pPr>
          </w:p>
        </w:tc>
        <w:tc>
          <w:tcPr>
            <w:tcW w:w="5387" w:type="dxa"/>
            <w:gridSpan w:val="4"/>
            <w:vMerge w:val="restart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ascii="標楷體" w:hAnsi="標楷體" w:eastAsia="標楷體"/>
                <w:b/>
                <w:sz w:val="18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透過小組討論、影片與情境演練引導學生相處技能，引導學生學習步驟如下:</w:t>
            </w:r>
          </w:p>
          <w:p>
            <w:pPr>
              <w:pStyle w:val="14"/>
              <w:numPr>
                <w:ilvl w:val="0"/>
                <w:numId w:val="4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保持冷靜。</w:t>
            </w:r>
          </w:p>
          <w:p>
            <w:pPr>
              <w:pStyle w:val="14"/>
              <w:numPr>
                <w:ilvl w:val="0"/>
                <w:numId w:val="4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想：「我遇到問題了，究竟發生了什麼是？」</w:t>
            </w:r>
          </w:p>
          <w:p>
            <w:pPr>
              <w:pStyle w:val="14"/>
              <w:numPr>
                <w:ilvl w:val="0"/>
                <w:numId w:val="4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釐清問題是什麼。</w:t>
            </w:r>
          </w:p>
          <w:p>
            <w:pPr>
              <w:pStyle w:val="14"/>
              <w:numPr>
                <w:ilvl w:val="0"/>
                <w:numId w:val="4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想出不同的方法來處理問題。</w:t>
            </w:r>
          </w:p>
          <w:p>
            <w:pPr>
              <w:pStyle w:val="14"/>
              <w:numPr>
                <w:ilvl w:val="0"/>
                <w:numId w:val="4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試最好的方法。</w:t>
            </w:r>
          </w:p>
          <w:p>
            <w:pPr>
              <w:pStyle w:val="3"/>
              <w:snapToGrid w:val="0"/>
              <w:spacing w:line="280" w:lineRule="atLeast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  <w:szCs w:val="20"/>
              </w:rPr>
              <w:t>如果第一個方法行不通，試試別的方法。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2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5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3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5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993" w:type="dxa"/>
            <w:tcBorders>
              <w:top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4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5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5</w:t>
            </w:r>
          </w:p>
        </w:tc>
        <w:tc>
          <w:tcPr>
            <w:tcW w:w="3827" w:type="dxa"/>
            <w:gridSpan w:val="4"/>
            <w:vMerge w:val="restart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hint="eastAsia"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綜合</w:t>
            </w:r>
            <w:r>
              <w:rPr>
                <w:rFonts w:hint="eastAsia" w:ascii="標楷體" w:hAnsi="標楷體" w:eastAsia="標楷體"/>
                <w:b/>
                <w:szCs w:val="20"/>
              </w:rPr>
              <w:t>技能應用_</w:t>
            </w: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邀請同儕來玩</w:t>
            </w:r>
            <w:r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  <w:t>2</w:t>
            </w:r>
          </w:p>
          <w:p>
            <w:pPr>
              <w:spacing w:line="240" w:lineRule="exact"/>
              <w:jc w:val="center"/>
              <w:rPr>
                <w:rFonts w:hint="eastAsia" w:ascii="標楷體" w:hAnsi="標楷體" w:eastAsia="標楷體"/>
                <w:bCs/>
                <w:szCs w:val="24"/>
              </w:rPr>
            </w:pPr>
          </w:p>
        </w:tc>
        <w:tc>
          <w:tcPr>
            <w:tcW w:w="5387" w:type="dxa"/>
            <w:gridSpan w:val="4"/>
            <w:vMerge w:val="restart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line="0" w:lineRule="atLeast"/>
              <w:ind w:left="312" w:hanging="312" w:hangingChars="130"/>
              <w:jc w:val="both"/>
              <w:rPr>
                <w:rFonts w:hint="eastAsia" w:ascii="標楷體" w:hAnsi="標楷體" w:eastAsia="標楷體"/>
                <w:szCs w:val="24"/>
                <w:lang w:eastAsia="zh-TW"/>
              </w:rPr>
            </w:pPr>
            <w:r>
              <w:rPr>
                <w:rFonts w:hint="eastAsia" w:ascii="標楷體" w:hAnsi="標楷體" w:eastAsia="標楷體"/>
                <w:szCs w:val="24"/>
                <w:lang w:eastAsia="zh-TW"/>
              </w:rPr>
              <w:t>能要請同儕到班上課，並運用所學，如下:</w:t>
            </w:r>
          </w:p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1.能專心聽完並理解桌遊規則。</w:t>
            </w:r>
          </w:p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2.能按照規則進行實際的操作活動。</w:t>
            </w:r>
          </w:p>
          <w:p>
            <w:pPr>
              <w:pStyle w:val="3"/>
              <w:snapToGrid w:val="0"/>
              <w:spacing w:line="280" w:lineRule="atLeast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3.能分享玩桌遊過程中和結束後自己的心情。</w:t>
            </w:r>
          </w:p>
          <w:p>
            <w:pPr>
              <w:pStyle w:val="3"/>
              <w:snapToGrid w:val="0"/>
              <w:spacing w:line="280" w:lineRule="atLeast"/>
              <w:rPr>
                <w:rFonts w:ascii="標楷體" w:hAnsi="標楷體" w:eastAsia="標楷體"/>
                <w:szCs w:val="20"/>
              </w:rPr>
            </w:pPr>
            <w:r>
              <w:rPr>
                <w:rFonts w:ascii="標楷體" w:eastAsia="標楷體" w:cs="標楷體" w:hAnsiTheme="minorHAnsi"/>
                <w:color w:val="000000"/>
                <w:kern w:val="0"/>
                <w:szCs w:val="23"/>
              </w:rPr>
              <w:t>4.能嘗試應用-前段部分所教授之技能。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6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6"/>
              </w:numPr>
              <w:snapToGrid w:val="0"/>
              <w:spacing w:line="280" w:lineRule="atLeast"/>
              <w:rPr>
                <w:rFonts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7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6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993" w:type="dxa"/>
            <w:tcBorders>
              <w:top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8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6"/>
              </w:numPr>
              <w:snapToGrid w:val="0"/>
              <w:spacing w:line="280" w:lineRule="atLeast"/>
              <w:rPr>
                <w:rFonts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9</w:t>
            </w:r>
          </w:p>
        </w:tc>
        <w:tc>
          <w:tcPr>
            <w:tcW w:w="3827" w:type="dxa"/>
            <w:gridSpan w:val="4"/>
            <w:vMerge w:val="restart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hint="eastAsia"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</w:rPr>
              <w:t>期末總檢討:</w:t>
            </w:r>
          </w:p>
          <w:p>
            <w:pPr>
              <w:spacing w:line="240" w:lineRule="exact"/>
              <w:jc w:val="center"/>
              <w:rPr>
                <w:rFonts w:ascii="標楷體" w:eastAsia="標楷體" w:cs="標楷體"/>
                <w:color w:val="000000"/>
                <w:kern w:val="0"/>
                <w:szCs w:val="23"/>
              </w:rPr>
            </w:pPr>
            <w:r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  <w:t>1.</w:t>
            </w:r>
            <w:r>
              <w:rPr>
                <w:rFonts w:hint="eastAsia" w:ascii="標楷體" w:hAnsi="標楷體" w:eastAsia="標楷體"/>
                <w:b/>
                <w:szCs w:val="20"/>
              </w:rPr>
              <w:t>優點大轟炸</w:t>
            </w:r>
            <w:r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  <w:t>2.複習所學技能</w:t>
            </w:r>
          </w:p>
        </w:tc>
        <w:tc>
          <w:tcPr>
            <w:tcW w:w="5387" w:type="dxa"/>
            <w:gridSpan w:val="4"/>
            <w:vMerge w:val="restart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1.能專心回顧本學期活動內容。</w:t>
            </w:r>
          </w:p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2.能分享活動中，最喜歡和最討厭的內容。</w:t>
            </w:r>
          </w:p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3.能分享自己一學期來透過活動的成長，即要待加強之處。</w:t>
            </w:r>
          </w:p>
          <w:p>
            <w:pPr>
              <w:spacing w:line="0" w:lineRule="atLeast"/>
              <w:ind w:left="312" w:leftChars="0" w:hanging="312" w:hangingChars="130"/>
              <w:jc w:val="both"/>
              <w:rPr>
                <w:rFonts w:hint="eastAsia" w:ascii="標楷體" w:eastAsia="標楷體" w:cs="標楷體" w:hAnsiTheme="minorHAnsi"/>
                <w:color w:val="000000"/>
                <w:kern w:val="0"/>
                <w:szCs w:val="23"/>
              </w:rPr>
            </w:pPr>
            <w:r>
              <w:rPr>
                <w:rFonts w:hint="eastAsia" w:ascii="標楷體" w:hAnsi="標楷體" w:eastAsia="標楷體"/>
                <w:szCs w:val="24"/>
              </w:rPr>
              <w:t>4.能實際口頭讚美其他同學的好表現。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20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7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993" w:type="dxa"/>
            <w:tcBorders>
              <w:top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21</w:t>
            </w:r>
          </w:p>
        </w:tc>
        <w:tc>
          <w:tcPr>
            <w:tcW w:w="382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387" w:type="dxa"/>
            <w:gridSpan w:val="4"/>
            <w:vMerge w:val="continue"/>
            <w:shd w:val="clear" w:color="auto" w:fill="FFFFFF" w:themeFill="background1"/>
            <w:vAlign w:val="center"/>
          </w:tcPr>
          <w:p>
            <w:pPr>
              <w:pStyle w:val="3"/>
              <w:numPr>
                <w:ilvl w:val="0"/>
                <w:numId w:val="7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</w:tbl>
    <w:p>
      <w:pPr>
        <w:widowControl/>
        <w:rPr>
          <w:rFonts w:hint="eastAsia" w:ascii="標楷體" w:hAnsi="標楷體" w:eastAsia="標楷體" w:cs="Times New Roman"/>
          <w:szCs w:val="28"/>
        </w:rPr>
      </w:pPr>
      <w:bookmarkStart w:id="0" w:name="_GoBack"/>
      <w:bookmarkEnd w:id="0"/>
    </w:p>
    <w:sectPr>
      <w:pgSz w:w="11906" w:h="16838"/>
      <w:pgMar w:top="1135" w:right="991" w:bottom="1134" w:left="1134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軟正黑體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Arial Unicode MS">
    <w:altName w:val="SimSun"/>
    <w:panose1 w:val="020B0604020202020204"/>
    <w:charset w:val="86"/>
    <w:family w:val="roman"/>
    <w:pitch w:val="default"/>
    <w:sig w:usb0="00000000" w:usb1="00000000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50F68"/>
    <w:multiLevelType w:val="multilevel"/>
    <w:tmpl w:val="12E50F6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05A49D4"/>
    <w:multiLevelType w:val="multilevel"/>
    <w:tmpl w:val="205A49D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標楷體" w:hAnsi="標楷體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9957576"/>
    <w:multiLevelType w:val="multilevel"/>
    <w:tmpl w:val="2995757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FC87DF0"/>
    <w:multiLevelType w:val="multilevel"/>
    <w:tmpl w:val="4FC87DF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15C0BD9"/>
    <w:multiLevelType w:val="multilevel"/>
    <w:tmpl w:val="515C0BD9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441018B"/>
    <w:multiLevelType w:val="multilevel"/>
    <w:tmpl w:val="5441018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625A747F"/>
    <w:multiLevelType w:val="multilevel"/>
    <w:tmpl w:val="625A747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609"/>
    <w:rsid w:val="00001877"/>
    <w:rsid w:val="000068A5"/>
    <w:rsid w:val="00007C4F"/>
    <w:rsid w:val="00012681"/>
    <w:rsid w:val="0005721A"/>
    <w:rsid w:val="000655FC"/>
    <w:rsid w:val="00074DA9"/>
    <w:rsid w:val="00082C8C"/>
    <w:rsid w:val="00090D23"/>
    <w:rsid w:val="000A66A0"/>
    <w:rsid w:val="000B3442"/>
    <w:rsid w:val="000C679D"/>
    <w:rsid w:val="000C7601"/>
    <w:rsid w:val="000D16A0"/>
    <w:rsid w:val="000E5F20"/>
    <w:rsid w:val="00110816"/>
    <w:rsid w:val="00131CD3"/>
    <w:rsid w:val="001372B5"/>
    <w:rsid w:val="00140E6C"/>
    <w:rsid w:val="001430A8"/>
    <w:rsid w:val="00146B0C"/>
    <w:rsid w:val="00154524"/>
    <w:rsid w:val="00174ED1"/>
    <w:rsid w:val="00182751"/>
    <w:rsid w:val="001913FE"/>
    <w:rsid w:val="001B35E9"/>
    <w:rsid w:val="001C5FA4"/>
    <w:rsid w:val="001D0DC4"/>
    <w:rsid w:val="001E3065"/>
    <w:rsid w:val="002029C9"/>
    <w:rsid w:val="002161A1"/>
    <w:rsid w:val="00220942"/>
    <w:rsid w:val="00234826"/>
    <w:rsid w:val="00234A27"/>
    <w:rsid w:val="00236D06"/>
    <w:rsid w:val="00250C86"/>
    <w:rsid w:val="002918B3"/>
    <w:rsid w:val="002A4947"/>
    <w:rsid w:val="002B6E88"/>
    <w:rsid w:val="002C535D"/>
    <w:rsid w:val="00321680"/>
    <w:rsid w:val="00324AD5"/>
    <w:rsid w:val="0035373C"/>
    <w:rsid w:val="00353920"/>
    <w:rsid w:val="0035423C"/>
    <w:rsid w:val="0036469B"/>
    <w:rsid w:val="00375D85"/>
    <w:rsid w:val="00381C9B"/>
    <w:rsid w:val="003A1DD1"/>
    <w:rsid w:val="003A788A"/>
    <w:rsid w:val="003B7E68"/>
    <w:rsid w:val="003C011A"/>
    <w:rsid w:val="003D34E7"/>
    <w:rsid w:val="003D4CC3"/>
    <w:rsid w:val="003D63F4"/>
    <w:rsid w:val="003F66E0"/>
    <w:rsid w:val="003F6BC1"/>
    <w:rsid w:val="00400173"/>
    <w:rsid w:val="00410296"/>
    <w:rsid w:val="00410DE8"/>
    <w:rsid w:val="00411ACC"/>
    <w:rsid w:val="00414FC3"/>
    <w:rsid w:val="00426521"/>
    <w:rsid w:val="00431E36"/>
    <w:rsid w:val="00432841"/>
    <w:rsid w:val="004411B7"/>
    <w:rsid w:val="0044255F"/>
    <w:rsid w:val="00467AA8"/>
    <w:rsid w:val="004748BF"/>
    <w:rsid w:val="0049164A"/>
    <w:rsid w:val="004B650B"/>
    <w:rsid w:val="004B6EF8"/>
    <w:rsid w:val="004D13D9"/>
    <w:rsid w:val="004D1793"/>
    <w:rsid w:val="004D76D9"/>
    <w:rsid w:val="00503041"/>
    <w:rsid w:val="00523B25"/>
    <w:rsid w:val="00541785"/>
    <w:rsid w:val="0054505E"/>
    <w:rsid w:val="00546655"/>
    <w:rsid w:val="00551FBF"/>
    <w:rsid w:val="00552000"/>
    <w:rsid w:val="00584D81"/>
    <w:rsid w:val="005A1D0E"/>
    <w:rsid w:val="005A3499"/>
    <w:rsid w:val="005A6869"/>
    <w:rsid w:val="005C6AA6"/>
    <w:rsid w:val="005D6A44"/>
    <w:rsid w:val="005E052E"/>
    <w:rsid w:val="005F5D1A"/>
    <w:rsid w:val="006048F7"/>
    <w:rsid w:val="00652156"/>
    <w:rsid w:val="00653C42"/>
    <w:rsid w:val="00657EFC"/>
    <w:rsid w:val="00666437"/>
    <w:rsid w:val="006760B2"/>
    <w:rsid w:val="00686F51"/>
    <w:rsid w:val="006960E3"/>
    <w:rsid w:val="006B6524"/>
    <w:rsid w:val="006B661C"/>
    <w:rsid w:val="006C27E1"/>
    <w:rsid w:val="006C3A3B"/>
    <w:rsid w:val="006D71FF"/>
    <w:rsid w:val="006F21CD"/>
    <w:rsid w:val="006F5672"/>
    <w:rsid w:val="007116D0"/>
    <w:rsid w:val="00711867"/>
    <w:rsid w:val="007122BE"/>
    <w:rsid w:val="00723B0E"/>
    <w:rsid w:val="00733E0B"/>
    <w:rsid w:val="0073761F"/>
    <w:rsid w:val="00740220"/>
    <w:rsid w:val="00752A8D"/>
    <w:rsid w:val="007604D3"/>
    <w:rsid w:val="00762398"/>
    <w:rsid w:val="00790C09"/>
    <w:rsid w:val="00792871"/>
    <w:rsid w:val="00794169"/>
    <w:rsid w:val="007A7A05"/>
    <w:rsid w:val="007C2FF0"/>
    <w:rsid w:val="007D6E26"/>
    <w:rsid w:val="007F2C2E"/>
    <w:rsid w:val="00814552"/>
    <w:rsid w:val="008160AC"/>
    <w:rsid w:val="008169F9"/>
    <w:rsid w:val="0083317C"/>
    <w:rsid w:val="00836B59"/>
    <w:rsid w:val="00851385"/>
    <w:rsid w:val="00867713"/>
    <w:rsid w:val="008677BB"/>
    <w:rsid w:val="0087287A"/>
    <w:rsid w:val="008859E7"/>
    <w:rsid w:val="00896DF9"/>
    <w:rsid w:val="008B7EEE"/>
    <w:rsid w:val="008C2913"/>
    <w:rsid w:val="008D1653"/>
    <w:rsid w:val="008D6CA0"/>
    <w:rsid w:val="008E1290"/>
    <w:rsid w:val="00960760"/>
    <w:rsid w:val="0096260E"/>
    <w:rsid w:val="00965BFC"/>
    <w:rsid w:val="009725B6"/>
    <w:rsid w:val="009750A2"/>
    <w:rsid w:val="00981F6D"/>
    <w:rsid w:val="00984E1C"/>
    <w:rsid w:val="00990D5E"/>
    <w:rsid w:val="009B22A1"/>
    <w:rsid w:val="009B78EB"/>
    <w:rsid w:val="009C2E63"/>
    <w:rsid w:val="00A03AB6"/>
    <w:rsid w:val="00A144ED"/>
    <w:rsid w:val="00A17A9A"/>
    <w:rsid w:val="00A22BBF"/>
    <w:rsid w:val="00A2511F"/>
    <w:rsid w:val="00A32CDD"/>
    <w:rsid w:val="00A406F8"/>
    <w:rsid w:val="00A47B01"/>
    <w:rsid w:val="00A5480B"/>
    <w:rsid w:val="00A60AD2"/>
    <w:rsid w:val="00A803BD"/>
    <w:rsid w:val="00AA0609"/>
    <w:rsid w:val="00AA2AEB"/>
    <w:rsid w:val="00AB7010"/>
    <w:rsid w:val="00AC34D0"/>
    <w:rsid w:val="00AD69B4"/>
    <w:rsid w:val="00AD6A1C"/>
    <w:rsid w:val="00AE0C08"/>
    <w:rsid w:val="00B02126"/>
    <w:rsid w:val="00B12A8B"/>
    <w:rsid w:val="00B3571E"/>
    <w:rsid w:val="00B37687"/>
    <w:rsid w:val="00B54E3E"/>
    <w:rsid w:val="00B57B4E"/>
    <w:rsid w:val="00B85B45"/>
    <w:rsid w:val="00B86C86"/>
    <w:rsid w:val="00B90D8E"/>
    <w:rsid w:val="00BA132E"/>
    <w:rsid w:val="00BA1441"/>
    <w:rsid w:val="00BA16A2"/>
    <w:rsid w:val="00BA3DC5"/>
    <w:rsid w:val="00BC37A2"/>
    <w:rsid w:val="00BC5FE0"/>
    <w:rsid w:val="00BC781F"/>
    <w:rsid w:val="00BD1534"/>
    <w:rsid w:val="00BD68CB"/>
    <w:rsid w:val="00BE1CB2"/>
    <w:rsid w:val="00BE2A8C"/>
    <w:rsid w:val="00BE4AC5"/>
    <w:rsid w:val="00BE6617"/>
    <w:rsid w:val="00BF119D"/>
    <w:rsid w:val="00C20C6D"/>
    <w:rsid w:val="00C272D6"/>
    <w:rsid w:val="00C308B0"/>
    <w:rsid w:val="00C32D48"/>
    <w:rsid w:val="00C857EF"/>
    <w:rsid w:val="00C86AE9"/>
    <w:rsid w:val="00C87C41"/>
    <w:rsid w:val="00C9048F"/>
    <w:rsid w:val="00C91682"/>
    <w:rsid w:val="00C931EB"/>
    <w:rsid w:val="00CA12E6"/>
    <w:rsid w:val="00CA1F62"/>
    <w:rsid w:val="00CB1902"/>
    <w:rsid w:val="00CB65E0"/>
    <w:rsid w:val="00D10EC9"/>
    <w:rsid w:val="00D10F2D"/>
    <w:rsid w:val="00D11A11"/>
    <w:rsid w:val="00D1365A"/>
    <w:rsid w:val="00D506C7"/>
    <w:rsid w:val="00D60355"/>
    <w:rsid w:val="00D864EF"/>
    <w:rsid w:val="00D87504"/>
    <w:rsid w:val="00D90E97"/>
    <w:rsid w:val="00DA43CB"/>
    <w:rsid w:val="00DC23A7"/>
    <w:rsid w:val="00DD62DA"/>
    <w:rsid w:val="00DE36CA"/>
    <w:rsid w:val="00DE6C44"/>
    <w:rsid w:val="00DE6F9A"/>
    <w:rsid w:val="00DE7F24"/>
    <w:rsid w:val="00DF0A92"/>
    <w:rsid w:val="00DF41A8"/>
    <w:rsid w:val="00E121C6"/>
    <w:rsid w:val="00E1598B"/>
    <w:rsid w:val="00E27ABC"/>
    <w:rsid w:val="00E27F20"/>
    <w:rsid w:val="00E326BF"/>
    <w:rsid w:val="00E45442"/>
    <w:rsid w:val="00E60478"/>
    <w:rsid w:val="00E726BC"/>
    <w:rsid w:val="00E8008A"/>
    <w:rsid w:val="00E87FCC"/>
    <w:rsid w:val="00E9029E"/>
    <w:rsid w:val="00E904D6"/>
    <w:rsid w:val="00E967D3"/>
    <w:rsid w:val="00E96DC1"/>
    <w:rsid w:val="00EA6F33"/>
    <w:rsid w:val="00ED6D3C"/>
    <w:rsid w:val="00EE24BB"/>
    <w:rsid w:val="00EE64BE"/>
    <w:rsid w:val="00EE711D"/>
    <w:rsid w:val="00F13DC1"/>
    <w:rsid w:val="00F21089"/>
    <w:rsid w:val="00F219A4"/>
    <w:rsid w:val="00F2631E"/>
    <w:rsid w:val="00F361FA"/>
    <w:rsid w:val="00F46AFA"/>
    <w:rsid w:val="00F51E30"/>
    <w:rsid w:val="00F60E39"/>
    <w:rsid w:val="00F70F71"/>
    <w:rsid w:val="00F72ABA"/>
    <w:rsid w:val="00F74F30"/>
    <w:rsid w:val="00F75F72"/>
    <w:rsid w:val="00F76E66"/>
    <w:rsid w:val="00F818EF"/>
    <w:rsid w:val="00F913E2"/>
    <w:rsid w:val="00FA518C"/>
    <w:rsid w:val="00FB4B98"/>
    <w:rsid w:val="00FB5608"/>
    <w:rsid w:val="00FB5CA7"/>
    <w:rsid w:val="00FB5E92"/>
    <w:rsid w:val="00FC247F"/>
    <w:rsid w:val="00FC28E9"/>
    <w:rsid w:val="00FC44AC"/>
    <w:rsid w:val="00FC4D77"/>
    <w:rsid w:val="00FE0504"/>
    <w:rsid w:val="00FE5902"/>
    <w:rsid w:val="14A92731"/>
    <w:rsid w:val="203F6DED"/>
    <w:rsid w:val="26BE6F4C"/>
    <w:rsid w:val="2B5455AA"/>
    <w:rsid w:val="33FC2A0E"/>
    <w:rsid w:val="4AC3213C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Body Text"/>
    <w:link w:val="13"/>
    <w:uiPriority w:val="0"/>
    <w:pPr>
      <w:widowControl w:val="0"/>
      <w:shd w:val="clear" w:color="auto" w:fill="FFFFFF"/>
      <w:suppressAutoHyphens/>
    </w:pPr>
    <w:rPr>
      <w:rFonts w:ascii="Times New Roman" w:hAnsi="Times New Roman" w:eastAsia="新細明體" w:cs="Times New Roman"/>
      <w:kern w:val="2"/>
      <w:sz w:val="24"/>
      <w:szCs w:val="24"/>
      <w:lang w:val="en-US" w:eastAsia="zh-TW" w:bidi="ar-SA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5">
    <w:name w:val="Balloon Text"/>
    <w:basedOn w:val="1"/>
    <w:link w:val="11"/>
    <w:unhideWhenUsed/>
    <w:uiPriority w:val="99"/>
    <w:rPr>
      <w:rFonts w:asciiTheme="majorHAnsi" w:hAnsiTheme="majorHAnsi" w:eastAsiaTheme="majorEastAsia" w:cstheme="majorBidi"/>
      <w:sz w:val="18"/>
      <w:szCs w:val="18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9">
    <w:name w:val="頁首 字元"/>
    <w:basedOn w:val="6"/>
    <w:link w:val="2"/>
    <w:uiPriority w:val="99"/>
    <w:rPr>
      <w:sz w:val="20"/>
      <w:szCs w:val="20"/>
    </w:rPr>
  </w:style>
  <w:style w:type="character" w:customStyle="1" w:styleId="10">
    <w:name w:val="頁尾 字元"/>
    <w:basedOn w:val="6"/>
    <w:link w:val="4"/>
    <w:uiPriority w:val="99"/>
    <w:rPr>
      <w:sz w:val="20"/>
      <w:szCs w:val="20"/>
    </w:rPr>
  </w:style>
  <w:style w:type="character" w:customStyle="1" w:styleId="11">
    <w:name w:val="註解方塊文字 字元"/>
    <w:basedOn w:val="6"/>
    <w:link w:val="5"/>
    <w:semiHidden/>
    <w:uiPriority w:val="99"/>
    <w:rPr>
      <w:rFonts w:asciiTheme="majorHAnsi" w:hAnsiTheme="majorHAnsi" w:eastAsiaTheme="majorEastAsia" w:cstheme="majorBidi"/>
      <w:sz w:val="18"/>
      <w:szCs w:val="18"/>
    </w:rPr>
  </w:style>
  <w:style w:type="paragraph" w:customStyle="1" w:styleId="12">
    <w:name w:val="Default"/>
    <w:qFormat/>
    <w:uiPriority w:val="0"/>
    <w:pPr>
      <w:widowControl w:val="0"/>
      <w:autoSpaceDE w:val="0"/>
      <w:autoSpaceDN w:val="0"/>
      <w:adjustRightInd w:val="0"/>
    </w:pPr>
    <w:rPr>
      <w:rFonts w:ascii="標楷體" w:eastAsia="標楷體" w:cs="標楷體" w:hAnsiTheme="minorHAnsi"/>
      <w:color w:val="000000"/>
      <w:kern w:val="0"/>
      <w:sz w:val="24"/>
      <w:szCs w:val="24"/>
      <w:lang w:val="en-US" w:eastAsia="zh-TW" w:bidi="ar-SA"/>
    </w:rPr>
  </w:style>
  <w:style w:type="character" w:customStyle="1" w:styleId="13">
    <w:name w:val="本文 字元"/>
    <w:basedOn w:val="6"/>
    <w:link w:val="3"/>
    <w:uiPriority w:val="0"/>
    <w:rPr>
      <w:rFonts w:ascii="Times New Roman" w:hAnsi="Times New Roman" w:eastAsia="新細明體" w:cs="Times New Roman"/>
      <w:szCs w:val="24"/>
      <w:shd w:val="clear" w:color="auto" w:fill="FFFFFF"/>
    </w:rPr>
  </w:style>
  <w:style w:type="paragraph" w:customStyle="1" w:styleId="14">
    <w:name w:val="List Paragraph"/>
    <w:basedOn w:val="1"/>
    <w:qFormat/>
    <w:uiPriority w:val="0"/>
    <w:pPr>
      <w:ind w:left="48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07F6DB-0DD1-44C3-AE83-4C0FE37095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1670</Words>
  <Characters>9525</Characters>
  <Lines>79</Lines>
  <Paragraphs>22</Paragraphs>
  <ScaleCrop>false</ScaleCrop>
  <LinksUpToDate>false</LinksUpToDate>
  <CharactersWithSpaces>11173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2023-05-25T02:53:00Z</dcterms:created>
  <dc:creator>user</dc:creator>
  <cp:lastModifiedBy>USER</cp:lastModifiedBy>
  <cp:lastPrinted>2020-05-08T03:57:00Z</cp:lastPrinted>
  <dcterms:modified xsi:type="dcterms:W3CDTF">2026-05-20T02:07:41Z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