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exact"/>
        <w:rPr>
          <w:rFonts w:ascii="標楷體" w:hAnsi="標楷體" w:eastAsia="標楷體"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>
      <w:pPr>
        <w:spacing w:after="180" w:afterLines="50" w:line="360" w:lineRule="exact"/>
        <w:rPr>
          <w:rFonts w:hint="eastAsia" w:ascii="標楷體" w:hAnsi="標楷體" w:eastAsia="標楷體"/>
          <w:b/>
          <w:sz w:val="32"/>
        </w:rPr>
      </w:pPr>
      <w:r>
        <w:rPr>
          <w:rFonts w:hint="eastAsia" w:ascii="標楷體" w:hAnsi="標楷體" w:eastAsia="標楷體"/>
          <w:b/>
          <w:sz w:val="32"/>
        </w:rPr>
        <w:t>表 3-十二年課綱選用：課程進度計畫表/分散式資源班</w:t>
      </w:r>
    </w:p>
    <w:p>
      <w:pPr>
        <w:widowControl/>
        <w:jc w:val="center"/>
        <w:rPr>
          <w:rFonts w:hint="eastAsia" w:ascii="標楷體" w:hAnsi="標楷體" w:eastAsia="標楷體"/>
          <w:b/>
          <w:sz w:val="32"/>
        </w:rPr>
      </w:pPr>
      <w:r>
        <w:rPr>
          <w:rFonts w:ascii="標楷體" w:hAnsi="標楷體" w:eastAsia="標楷體"/>
          <w:w w:val="95"/>
          <w:sz w:val="32"/>
          <w:szCs w:val="24"/>
        </w:rPr>
        <w:t>高雄市苓雅區五權國民小學11</w:t>
      </w:r>
      <w:r>
        <w:rPr>
          <w:rFonts w:hint="eastAsia" w:ascii="標楷體" w:hAnsi="標楷體" w:eastAsia="標楷體"/>
          <w:w w:val="95"/>
          <w:sz w:val="32"/>
          <w:szCs w:val="24"/>
          <w:lang w:val="en-US" w:eastAsia="zh-TW"/>
        </w:rPr>
        <w:t>5</w:t>
      </w:r>
      <w:r>
        <w:rPr>
          <w:rFonts w:ascii="標楷體" w:hAnsi="標楷體" w:eastAsia="標楷體"/>
          <w:w w:val="95"/>
          <w:sz w:val="32"/>
          <w:szCs w:val="24"/>
        </w:rPr>
        <w:t>學年度</w:t>
      </w:r>
      <w:r>
        <w:rPr>
          <w:rFonts w:hint="eastAsia" w:ascii="標楷體" w:hAnsi="標楷體" w:eastAsia="標楷體"/>
          <w:w w:val="95"/>
          <w:sz w:val="32"/>
          <w:szCs w:val="24"/>
        </w:rPr>
        <w:t>分</w:t>
      </w:r>
      <w:r>
        <w:rPr>
          <w:rFonts w:ascii="標楷體" w:hAnsi="標楷體" w:eastAsia="標楷體"/>
          <w:w w:val="95"/>
          <w:sz w:val="32"/>
          <w:szCs w:val="24"/>
        </w:rPr>
        <w:t>散式資源班</w:t>
      </w:r>
      <w:r>
        <w:rPr>
          <w:rFonts w:hint="eastAsia" w:ascii="標楷體" w:hAnsi="標楷體" w:eastAsia="標楷體"/>
          <w:sz w:val="32"/>
          <w:szCs w:val="24"/>
        </w:rPr>
        <w:t>課程進度計畫表</w:t>
      </w:r>
    </w:p>
    <w:tbl>
      <w:tblPr>
        <w:tblStyle w:val="9"/>
        <w:tblW w:w="9312" w:type="dxa"/>
        <w:tblInd w:w="6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724"/>
        <w:gridCol w:w="332"/>
        <w:gridCol w:w="1601"/>
        <w:gridCol w:w="194"/>
        <w:gridCol w:w="293"/>
        <w:gridCol w:w="983"/>
        <w:gridCol w:w="488"/>
        <w:gridCol w:w="1955"/>
        <w:gridCol w:w="2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705" w:type="dxa"/>
            <w:gridSpan w:val="3"/>
            <w:vMerge w:val="restart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1</w:t>
            </w:r>
            <w:r>
              <w:rPr>
                <w:rFonts w:ascii="標楷體" w:hAnsi="標楷體" w:eastAsia="標楷體"/>
                <w:szCs w:val="28"/>
              </w:rPr>
              <w:t>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5</w:t>
            </w:r>
            <w:r>
              <w:rPr>
                <w:rFonts w:hint="eastAsia" w:ascii="標楷體" w:hAnsi="標楷體" w:eastAsia="標楷體"/>
                <w:szCs w:val="28"/>
              </w:rPr>
              <w:t>學年度</w:t>
            </w:r>
            <w:r>
              <w:rPr>
                <w:rFonts w:ascii="標楷體" w:hAnsi="標楷體" w:eastAsia="標楷體"/>
                <w:szCs w:val="28"/>
              </w:rPr>
              <w:br w:type="textWrapping"/>
            </w:r>
            <w:r>
              <w:rPr>
                <w:rFonts w:hint="eastAsia" w:ascii="標楷體" w:hAnsi="標楷體" w:eastAsia="標楷體"/>
                <w:szCs w:val="28"/>
              </w:rPr>
              <w:t>第2學期</w:t>
            </w:r>
          </w:p>
        </w:tc>
        <w:tc>
          <w:tcPr>
            <w:tcW w:w="1601" w:type="dxa"/>
            <w:shd w:val="clear" w:color="auto" w:fill="D8D8D8" w:themeFill="background1" w:themeFillShade="D9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領域/科目</w:t>
            </w:r>
          </w:p>
        </w:tc>
        <w:tc>
          <w:tcPr>
            <w:tcW w:w="1958" w:type="dxa"/>
            <w:gridSpan w:val="4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每週節數</w:t>
            </w:r>
          </w:p>
        </w:tc>
        <w:tc>
          <w:tcPr>
            <w:tcW w:w="1955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班級/組別</w:t>
            </w:r>
          </w:p>
        </w:tc>
        <w:tc>
          <w:tcPr>
            <w:tcW w:w="2093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授課教師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705" w:type="dxa"/>
            <w:gridSpan w:val="3"/>
            <w:vMerge w:val="continue"/>
            <w:tcBorders>
              <w:bottom w:val="nil"/>
            </w:tcBorders>
            <w:shd w:val="clear" w:color="auto" w:fill="FFFFFF" w:themeFill="background1"/>
            <w:vAlign w:val="center"/>
          </w:tcPr>
          <w:p>
            <w:pPr>
              <w:spacing w:line="360" w:lineRule="exact"/>
              <w:jc w:val="both"/>
              <w:rPr>
                <w:rFonts w:ascii="標楷體" w:hAnsi="標楷體" w:eastAsia="標楷體"/>
                <w:sz w:val="28"/>
                <w:szCs w:val="28"/>
              </w:rPr>
            </w:pPr>
          </w:p>
        </w:tc>
        <w:tc>
          <w:tcPr>
            <w:tcW w:w="1601" w:type="dxa"/>
            <w:tcBorders>
              <w:bottom w:val="single" w:color="auto" w:sz="18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特殊需求</w:t>
            </w:r>
          </w:p>
          <w:p>
            <w:pPr>
              <w:spacing w:line="360" w:lineRule="exact"/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社會技巧</w:t>
            </w:r>
          </w:p>
        </w:tc>
        <w:tc>
          <w:tcPr>
            <w:tcW w:w="1958" w:type="dxa"/>
            <w:gridSpan w:val="4"/>
            <w:tcBorders>
              <w:bottom w:val="single" w:color="auto" w:sz="18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2</w:t>
            </w:r>
          </w:p>
        </w:tc>
        <w:tc>
          <w:tcPr>
            <w:tcW w:w="1955" w:type="dxa"/>
            <w:tcBorders>
              <w:bottom w:val="single" w:color="auto" w:sz="18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  <w:lang w:eastAsia="zh-TW"/>
              </w:rPr>
              <w:t>六</w:t>
            </w:r>
            <w:r>
              <w:rPr>
                <w:rFonts w:hint="eastAsia" w:ascii="標楷體" w:hAnsi="標楷體" w:eastAsia="標楷體"/>
                <w:szCs w:val="28"/>
              </w:rPr>
              <w:t>年級</w:t>
            </w:r>
          </w:p>
        </w:tc>
        <w:tc>
          <w:tcPr>
            <w:tcW w:w="2093" w:type="dxa"/>
            <w:tcBorders>
              <w:bottom w:val="single" w:color="auto" w:sz="18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李憓璇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49" w:type="dxa"/>
            <w:vMerge w:val="restart"/>
            <w:tcBorders>
              <w:top w:val="single" w:color="auto" w:sz="18" w:space="0"/>
              <w:lef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核心</w:t>
            </w:r>
          </w:p>
          <w:p>
            <w:pPr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素養</w:t>
            </w:r>
          </w:p>
        </w:tc>
        <w:tc>
          <w:tcPr>
            <w:tcW w:w="1056" w:type="dxa"/>
            <w:gridSpan w:val="2"/>
            <w:tcBorders>
              <w:top w:val="single" w:color="auto" w:sz="18" w:space="0"/>
            </w:tcBorders>
            <w:shd w:val="clear" w:color="auto" w:fill="D8D8D8" w:themeFill="background1" w:themeFillShade="D9"/>
            <w:vAlign w:val="center"/>
          </w:tcPr>
          <w:p>
            <w:pPr>
              <w:spacing w:line="360" w:lineRule="exact"/>
              <w:jc w:val="both"/>
              <w:rPr>
                <w:rFonts w:ascii="標楷體" w:hAnsi="標楷體" w:eastAsia="標楷體"/>
                <w:spacing w:val="-20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pacing w:val="-20"/>
                <w:sz w:val="22"/>
                <w:szCs w:val="28"/>
              </w:rPr>
              <w:t>A自主行動</w:t>
            </w:r>
          </w:p>
        </w:tc>
        <w:tc>
          <w:tcPr>
            <w:tcW w:w="7607" w:type="dxa"/>
            <w:gridSpan w:val="7"/>
            <w:tcBorders>
              <w:top w:val="single" w:color="auto" w:sz="18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■A1身心素質與自我精進■A2系統思考與問題解決□A3規劃執行與創新應變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49" w:type="dxa"/>
            <w:vMerge w:val="continue"/>
            <w:tcBorders>
              <w:left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exact"/>
              <w:rPr>
                <w:rFonts w:ascii="標楷體" w:hAnsi="標楷體" w:eastAsia="標楷體"/>
                <w:sz w:val="28"/>
                <w:szCs w:val="28"/>
              </w:rPr>
            </w:pPr>
          </w:p>
        </w:tc>
        <w:tc>
          <w:tcPr>
            <w:tcW w:w="1056" w:type="dxa"/>
            <w:gridSpan w:val="2"/>
            <w:shd w:val="clear" w:color="auto" w:fill="D8D8D8" w:themeFill="background1" w:themeFillShade="D9"/>
            <w:vAlign w:val="center"/>
          </w:tcPr>
          <w:p>
            <w:pPr>
              <w:spacing w:line="360" w:lineRule="exact"/>
              <w:jc w:val="both"/>
              <w:rPr>
                <w:rFonts w:ascii="標楷體" w:hAnsi="標楷體" w:eastAsia="標楷體"/>
                <w:spacing w:val="-20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pacing w:val="-20"/>
                <w:sz w:val="22"/>
                <w:szCs w:val="28"/>
              </w:rPr>
              <w:t>B溝通互動</w:t>
            </w:r>
          </w:p>
        </w:tc>
        <w:tc>
          <w:tcPr>
            <w:tcW w:w="7607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■B1符號運用與溝通表達□B2科技資訊與媒體素養□B3藝術涵養與美感素養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49" w:type="dxa"/>
            <w:vMerge w:val="continue"/>
            <w:tcBorders>
              <w:left w:val="single" w:color="auto" w:sz="4" w:space="0"/>
              <w:bottom w:val="single" w:color="auto" w:sz="18" w:space="0"/>
            </w:tcBorders>
            <w:shd w:val="clear" w:color="auto" w:fill="D8D8D8" w:themeFill="background1" w:themeFillShade="D9"/>
          </w:tcPr>
          <w:p>
            <w:pPr>
              <w:spacing w:line="360" w:lineRule="exact"/>
              <w:rPr>
                <w:rFonts w:ascii="標楷體" w:hAnsi="標楷體" w:eastAsia="標楷體"/>
                <w:sz w:val="28"/>
                <w:szCs w:val="28"/>
              </w:rPr>
            </w:pPr>
          </w:p>
        </w:tc>
        <w:tc>
          <w:tcPr>
            <w:tcW w:w="1056" w:type="dxa"/>
            <w:gridSpan w:val="2"/>
            <w:tcBorders>
              <w:bottom w:val="single" w:color="auto" w:sz="18" w:space="0"/>
            </w:tcBorders>
            <w:shd w:val="clear" w:color="auto" w:fill="D8D8D8" w:themeFill="background1" w:themeFillShade="D9"/>
            <w:vAlign w:val="center"/>
          </w:tcPr>
          <w:p>
            <w:pPr>
              <w:spacing w:line="360" w:lineRule="exact"/>
              <w:jc w:val="both"/>
              <w:rPr>
                <w:rFonts w:ascii="標楷體" w:hAnsi="標楷體" w:eastAsia="標楷體"/>
                <w:spacing w:val="-20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pacing w:val="-20"/>
                <w:sz w:val="22"/>
                <w:szCs w:val="28"/>
              </w:rPr>
              <w:t>C社會參與</w:t>
            </w:r>
          </w:p>
        </w:tc>
        <w:tc>
          <w:tcPr>
            <w:tcW w:w="7607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□C1道德實踐與公民意識■C2人際關係與團隊合作□C3多元文化與國際理解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649" w:type="dxa"/>
            <w:tcBorders>
              <w:top w:val="single" w:color="auto" w:sz="18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學習</w:t>
            </w:r>
          </w:p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表現</w:t>
            </w:r>
          </w:p>
        </w:tc>
        <w:tc>
          <w:tcPr>
            <w:tcW w:w="8663" w:type="dxa"/>
            <w:gridSpan w:val="9"/>
            <w:tcBorders>
              <w:top w:val="single" w:color="auto" w:sz="18" w:space="0"/>
            </w:tcBorders>
          </w:tcPr>
          <w:p>
            <w:pPr>
              <w:rPr>
                <w:rFonts w:ascii="標楷體" w:hAnsi="Times New Roman" w:eastAsia="標楷體" w:cs="標楷體"/>
                <w:color w:val="000000"/>
                <w:kern w:val="0"/>
                <w:sz w:val="23"/>
                <w:szCs w:val="23"/>
              </w:rPr>
            </w:pPr>
            <w:r>
              <w:rPr>
                <w:rFonts w:hint="eastAsia" w:ascii="標楷體" w:hAnsi="Times New Roman" w:eastAsia="標楷體" w:cs="標楷體"/>
                <w:color w:val="000000"/>
                <w:kern w:val="0"/>
                <w:sz w:val="23"/>
                <w:szCs w:val="23"/>
              </w:rPr>
              <w:t>【處己】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 1-III-1 聽從建議選擇較佳的情緒處理技巧。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</w:t>
            </w:r>
            <w:r>
              <w:rPr>
                <w:rFonts w:ascii="標楷體" w:hAnsi="標楷體" w:eastAsia="標楷體"/>
                <w:szCs w:val="24"/>
              </w:rPr>
              <w:t xml:space="preserve"> 1-III-2 </w:t>
            </w:r>
            <w:r>
              <w:rPr>
                <w:rFonts w:hint="eastAsia" w:ascii="標楷體" w:hAnsi="標楷體" w:eastAsia="標楷體"/>
                <w:szCs w:val="24"/>
              </w:rPr>
              <w:t>嘗試使用抒解壓力的方法。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 1-III-3 接納自己與接受不可能每個人都喜歡自己的事實。</w:t>
            </w:r>
          </w:p>
          <w:p>
            <w:pPr>
              <w:rPr>
                <w:rFonts w:ascii="標楷體" w:hAnsi="Times New Roman" w:eastAsia="標楷體" w:cs="標楷體"/>
                <w:color w:val="000000"/>
                <w:kern w:val="0"/>
                <w:sz w:val="23"/>
                <w:szCs w:val="23"/>
              </w:rPr>
            </w:pPr>
            <w:r>
              <w:rPr>
                <w:rFonts w:hint="eastAsia" w:ascii="標楷體" w:hAnsi="Times New Roman" w:eastAsia="標楷體" w:cs="標楷體"/>
                <w:color w:val="000000"/>
                <w:kern w:val="0"/>
                <w:sz w:val="23"/>
                <w:szCs w:val="23"/>
              </w:rPr>
              <w:t>【處人】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特社2-III-1 以善意正向的觀點，看待與人相處的各種互動行為。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特社2-III-2 區辨別人非善意行為是提醒，還是威脅到了自己的適應與生存。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特社2-III-3 使用適當的技巧與人談話，並禮貌的結束話題。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特社2-III-4 依據情境，用適當的方式與他人分享自己喜歡的物品或生活經驗。</w:t>
            </w:r>
          </w:p>
          <w:p>
            <w:pPr>
              <w:rPr>
                <w:rFonts w:ascii="標楷體" w:hAnsi="Times New Roman" w:eastAsia="標楷體" w:cs="標楷體"/>
                <w:color w:val="000000"/>
                <w:kern w:val="0"/>
                <w:sz w:val="23"/>
                <w:szCs w:val="23"/>
              </w:rPr>
            </w:pPr>
            <w:r>
              <w:rPr>
                <w:rFonts w:hint="eastAsia" w:ascii="標楷體" w:hAnsi="Times New Roman" w:eastAsia="標楷體" w:cs="標楷體"/>
                <w:color w:val="000000"/>
                <w:kern w:val="0"/>
                <w:sz w:val="23"/>
                <w:szCs w:val="23"/>
              </w:rPr>
              <w:t>【處環境】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特社3-III-1 遵守不同課堂的規則。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特社3-III-2 主動參與課堂或小組討論，並在小組中主動對他人提供協助。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特社3-III-3 服從小組決議並完成指派的工作。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649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學習</w:t>
            </w:r>
          </w:p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內容</w:t>
            </w:r>
          </w:p>
        </w:tc>
        <w:tc>
          <w:tcPr>
            <w:tcW w:w="8663" w:type="dxa"/>
            <w:gridSpan w:val="9"/>
          </w:tcPr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 xml:space="preserve">特社A-Ⅲ-1 複雜情緒的處理。 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特社A-Ⅲ-3 行為與後果之間的關係與評估。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 xml:space="preserve">特社B-Ⅲ-1 正負向訊息的判斷。 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 xml:space="preserve">特社B-Ⅲ-4 自我需求與困難的表達。 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特社C-Ⅲ-1 不同學習情境變化的適應與調整。</w:t>
            </w:r>
          </w:p>
          <w:p>
            <w:pPr>
              <w:rPr>
                <w:rFonts w:ascii="標楷體" w:hAnsi="標楷體" w:eastAsia="標楷體"/>
                <w:color w:val="FF7C80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特社C-Ⅲ-2 不同家庭情境變化的適應與調整。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649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融入</w:t>
            </w:r>
          </w:p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議題</w:t>
            </w:r>
          </w:p>
        </w:tc>
        <w:tc>
          <w:tcPr>
            <w:tcW w:w="8663" w:type="dxa"/>
            <w:gridSpan w:val="9"/>
          </w:tcPr>
          <w:p>
            <w:pPr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家庭教育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生命教育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品德教育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人權教育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法治教育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性別平等教育</w:t>
            </w:r>
          </w:p>
          <w:p>
            <w:pPr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□環境教育　□海洋教育　□能源教育　□資訊教育　□科技教育　□原住民族教育</w:t>
            </w:r>
          </w:p>
          <w:p>
            <w:pPr>
              <w:rPr>
                <w:rFonts w:ascii="標楷體" w:hAnsi="標楷體" w:eastAsia="標楷體"/>
                <w:color w:val="FF6699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□安全教育　□戶外教育　□國際教育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多元文化　□生涯規劃　□閱讀素養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</w:trPr>
        <w:tc>
          <w:tcPr>
            <w:tcW w:w="649" w:type="dxa"/>
            <w:vMerge w:val="restart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教學與</w:t>
            </w:r>
          </w:p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評量</w:t>
            </w:r>
          </w:p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說明</w:t>
            </w:r>
          </w:p>
        </w:tc>
        <w:tc>
          <w:tcPr>
            <w:tcW w:w="724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教材編輯與資源</w:t>
            </w:r>
          </w:p>
        </w:tc>
        <w:tc>
          <w:tcPr>
            <w:tcW w:w="2127" w:type="dxa"/>
            <w:gridSpan w:val="3"/>
            <w:vAlign w:val="center"/>
          </w:tcPr>
          <w:p>
            <w:pPr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□版第 冊</w:t>
            </w:r>
          </w:p>
          <w:p>
            <w:pPr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自編教材</w:t>
            </w:r>
          </w:p>
          <w:p>
            <w:pPr>
              <w:pStyle w:val="3"/>
              <w:snapToGrid w:val="0"/>
              <w:spacing w:line="280" w:lineRule="atLeast"/>
              <w:jc w:val="both"/>
              <w:rPr>
                <w:rFonts w:eastAsia="標楷體"/>
                <w:b/>
                <w:bCs/>
                <w:color w:val="FF0000"/>
              </w:rPr>
            </w:pPr>
            <w:r>
              <w:rPr>
                <w:rFonts w:hint="eastAsia" w:eastAsia="標楷體"/>
              </w:rPr>
              <w:t>(1)</w:t>
            </w:r>
            <w:r>
              <w:rPr>
                <w:rFonts w:eastAsia="標楷體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資源教室社交技巧</w:t>
            </w:r>
            <w:r>
              <w:rPr>
                <w:rFonts w:hint="eastAsia" w:eastAsia="標楷體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手冊。</w:t>
            </w:r>
          </w:p>
          <w:p>
            <w:pPr>
              <w:pStyle w:val="3"/>
              <w:snapToGrid w:val="0"/>
              <w:spacing w:line="280" w:lineRule="atLeast"/>
              <w:jc w:val="both"/>
              <w:rPr>
                <w:rFonts w:eastAsia="標楷體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標楷體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(2)特教教材資料庫。</w:t>
            </w:r>
          </w:p>
        </w:tc>
        <w:tc>
          <w:tcPr>
            <w:tcW w:w="1276" w:type="dxa"/>
            <w:gridSpan w:val="2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課程調整</w:t>
            </w:r>
          </w:p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原則</w:t>
            </w:r>
          </w:p>
        </w:tc>
        <w:tc>
          <w:tcPr>
            <w:tcW w:w="4536" w:type="dxa"/>
            <w:gridSpan w:val="3"/>
            <w:vAlign w:val="center"/>
          </w:tcPr>
          <w:p>
            <w:pPr>
              <w:jc w:val="both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□簡化　□減量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分解　□替代　□重整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649" w:type="dxa"/>
            <w:vMerge w:val="continue"/>
            <w:shd w:val="clear" w:color="auto" w:fill="D8D8D8" w:themeFill="background1" w:themeFillShade="D9"/>
            <w:vAlign w:val="center"/>
          </w:tcPr>
          <w:p>
            <w:pPr>
              <w:spacing w:line="360" w:lineRule="exact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</w:p>
        </w:tc>
        <w:tc>
          <w:tcPr>
            <w:tcW w:w="724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教學方法</w:t>
            </w:r>
          </w:p>
        </w:tc>
        <w:tc>
          <w:tcPr>
            <w:tcW w:w="7939" w:type="dxa"/>
            <w:gridSpan w:val="8"/>
            <w:vAlign w:val="center"/>
          </w:tcPr>
          <w:p>
            <w:pPr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直接教學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工作分析　□交互教學　□結構教學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問題解決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合作學習</w:t>
            </w:r>
          </w:p>
          <w:p>
            <w:pPr>
              <w:jc w:val="both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□協同教學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多層次教學　□其他：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649" w:type="dxa"/>
            <w:vMerge w:val="continue"/>
            <w:shd w:val="clear" w:color="auto" w:fill="D8D8D8" w:themeFill="background1" w:themeFillShade="D9"/>
            <w:vAlign w:val="center"/>
          </w:tcPr>
          <w:p>
            <w:pPr>
              <w:spacing w:line="360" w:lineRule="exact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</w:p>
        </w:tc>
        <w:tc>
          <w:tcPr>
            <w:tcW w:w="724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教學評量</w:t>
            </w:r>
          </w:p>
        </w:tc>
        <w:tc>
          <w:tcPr>
            <w:tcW w:w="7939" w:type="dxa"/>
            <w:gridSpan w:val="8"/>
            <w:vAlign w:val="center"/>
          </w:tcPr>
          <w:p>
            <w:pPr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□紙筆評量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檔案評量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口語評量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實作評量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其他：觀察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49" w:type="dxa"/>
            <w:tcBorders>
              <w:top w:val="single" w:color="auto" w:sz="18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週次</w:t>
            </w:r>
          </w:p>
        </w:tc>
        <w:tc>
          <w:tcPr>
            <w:tcW w:w="3144" w:type="dxa"/>
            <w:gridSpan w:val="5"/>
            <w:tcBorders>
              <w:top w:val="single" w:color="auto" w:sz="18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單元名稱</w:t>
            </w:r>
          </w:p>
        </w:tc>
        <w:tc>
          <w:tcPr>
            <w:tcW w:w="5519" w:type="dxa"/>
            <w:gridSpan w:val="4"/>
            <w:tcBorders>
              <w:top w:val="single" w:color="auto" w:sz="18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單元內容/教學重點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" w:hRule="atLeast"/>
        </w:trPr>
        <w:tc>
          <w:tcPr>
            <w:tcW w:w="64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1</w:t>
            </w:r>
          </w:p>
        </w:tc>
        <w:tc>
          <w:tcPr>
            <w:tcW w:w="3144" w:type="dxa"/>
            <w:gridSpan w:val="5"/>
            <w:shd w:val="clear" w:color="auto" w:fill="FFFFFF" w:themeFill="background1"/>
            <w:vAlign w:val="center"/>
          </w:tcPr>
          <w:p>
            <w:pPr>
              <w:spacing w:line="276" w:lineRule="auto"/>
              <w:jc w:val="center"/>
              <w:rPr>
                <w:rFonts w:hint="eastAsia" w:ascii="標楷體" w:hAnsi="標楷體" w:eastAsia="標楷體"/>
                <w:b/>
                <w:szCs w:val="20"/>
                <w:lang w:eastAsia="zh-TW"/>
              </w:rPr>
            </w:pPr>
            <w:r>
              <w:rPr>
                <w:rFonts w:hint="eastAsia" w:ascii="標楷體" w:hAnsi="標楷體" w:eastAsia="標楷體"/>
                <w:b/>
                <w:szCs w:val="20"/>
                <w:lang w:eastAsia="zh-TW"/>
              </w:rPr>
              <w:t>課程暖身</w:t>
            </w:r>
          </w:p>
          <w:p>
            <w:pPr>
              <w:jc w:val="center"/>
              <w:rPr>
                <w:rFonts w:hint="eastAsia" w:ascii="標楷體" w:hAnsi="標楷體" w:eastAsia="標楷體"/>
                <w:b/>
                <w:sz w:val="22"/>
                <w:szCs w:val="22"/>
                <w:lang w:eastAsia="zh-TW"/>
              </w:rPr>
            </w:pPr>
            <w:r>
              <w:rPr>
                <w:rFonts w:hint="eastAsia" w:ascii="標楷體" w:hAnsi="標楷體" w:eastAsia="標楷體"/>
                <w:b/>
                <w:sz w:val="22"/>
                <w:szCs w:val="22"/>
                <w:lang w:eastAsia="zh-TW"/>
              </w:rPr>
              <w:t>【課程重點回顧</w:t>
            </w:r>
          </w:p>
          <w:p>
            <w:pPr>
              <w:jc w:val="center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b/>
                <w:sz w:val="22"/>
                <w:szCs w:val="22"/>
                <w:lang w:eastAsia="zh-TW"/>
              </w:rPr>
              <w:t>與假期心情分享】</w:t>
            </w:r>
          </w:p>
        </w:tc>
        <w:tc>
          <w:tcPr>
            <w:tcW w:w="5519" w:type="dxa"/>
            <w:gridSpan w:val="4"/>
            <w:shd w:val="clear" w:color="auto" w:fill="FFFFFF" w:themeFill="background1"/>
            <w:vAlign w:val="center"/>
          </w:tcPr>
          <w:p>
            <w:pPr>
              <w:pStyle w:val="17"/>
              <w:numPr>
                <w:ilvl w:val="0"/>
                <w:numId w:val="1"/>
              </w:numPr>
              <w:ind w:leftChars="0"/>
              <w:jc w:val="both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  <w:lang w:eastAsia="zh-TW"/>
              </w:rPr>
              <w:t>寒假</w:t>
            </w:r>
            <w:r>
              <w:rPr>
                <w:rFonts w:hint="eastAsia" w:ascii="標楷體" w:hAnsi="標楷體" w:eastAsia="標楷體"/>
                <w:szCs w:val="20"/>
              </w:rPr>
              <w:t>分享與新學期新目標</w:t>
            </w:r>
          </w:p>
          <w:p>
            <w:pPr>
              <w:pStyle w:val="17"/>
              <w:numPr>
                <w:ilvl w:val="0"/>
                <w:numId w:val="1"/>
              </w:numPr>
              <w:ind w:left="360" w:leftChars="0" w:hanging="360" w:firstLineChars="0"/>
              <w:jc w:val="both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  <w:lang w:eastAsia="zh-TW"/>
              </w:rPr>
              <w:t>課程大綱說明</w:t>
            </w:r>
            <w:r>
              <w:rPr>
                <w:rFonts w:hint="eastAsia" w:ascii="標楷體" w:hAnsi="標楷體" w:eastAsia="標楷體"/>
                <w:szCs w:val="20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64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2</w:t>
            </w:r>
          </w:p>
        </w:tc>
        <w:tc>
          <w:tcPr>
            <w:tcW w:w="3144" w:type="dxa"/>
            <w:gridSpan w:val="5"/>
            <w:vMerge w:val="restart"/>
            <w:vAlign w:val="center"/>
          </w:tcPr>
          <w:p>
            <w:pPr>
              <w:spacing w:line="276" w:lineRule="auto"/>
              <w:jc w:val="center"/>
              <w:rPr>
                <w:rFonts w:hint="eastAsia" w:ascii="標楷體" w:hAnsi="標楷體" w:eastAsia="標楷體"/>
                <w:b/>
                <w:szCs w:val="20"/>
              </w:rPr>
            </w:pPr>
            <w:r>
              <w:rPr>
                <w:rFonts w:hint="eastAsia" w:ascii="標楷體" w:hAnsi="標楷體" w:eastAsia="標楷體"/>
                <w:b/>
                <w:szCs w:val="20"/>
              </w:rPr>
              <w:t>人際病毒特搜隊</w:t>
            </w:r>
          </w:p>
          <w:p>
            <w:pPr>
              <w:spacing w:line="276" w:lineRule="auto"/>
              <w:jc w:val="center"/>
              <w:rPr>
                <w:rFonts w:hint="eastAsia" w:ascii="標楷體" w:hAnsi="標楷體" w:eastAsia="標楷體"/>
                <w:b/>
                <w:szCs w:val="20"/>
              </w:rPr>
            </w:pPr>
            <w:r>
              <w:rPr>
                <w:rFonts w:hint="eastAsia" w:ascii="標楷體" w:hAnsi="標楷體" w:eastAsia="標楷體"/>
                <w:b/>
                <w:szCs w:val="20"/>
                <w:lang w:eastAsia="zh-TW"/>
              </w:rPr>
              <w:t>進階</w:t>
            </w:r>
            <w:r>
              <w:rPr>
                <w:rFonts w:hint="eastAsia" w:ascii="標楷體" w:hAnsi="標楷體" w:eastAsia="標楷體"/>
                <w:b/>
                <w:szCs w:val="20"/>
                <w:lang w:val="en-US" w:eastAsia="zh-TW"/>
              </w:rPr>
              <w:t>(一)</w:t>
            </w:r>
          </w:p>
          <w:p>
            <w:pPr>
              <w:spacing w:line="276" w:lineRule="auto"/>
              <w:jc w:val="center"/>
              <w:rPr>
                <w:rFonts w:eastAsia="標楷體"/>
                <w:szCs w:val="24"/>
              </w:rPr>
            </w:pPr>
            <w:r>
              <w:rPr>
                <w:rFonts w:hint="eastAsia" w:ascii="標楷體" w:hAnsi="標楷體" w:eastAsia="標楷體"/>
                <w:b/>
                <w:sz w:val="22"/>
                <w:szCs w:val="22"/>
                <w:lang w:eastAsia="zh-TW"/>
              </w:rPr>
              <w:t>【正負項訊息判斷】</w:t>
            </w:r>
          </w:p>
        </w:tc>
        <w:tc>
          <w:tcPr>
            <w:tcW w:w="5519" w:type="dxa"/>
            <w:gridSpan w:val="4"/>
            <w:vMerge w:val="restart"/>
            <w:vAlign w:val="center"/>
          </w:tcPr>
          <w:p>
            <w:pPr>
              <w:pStyle w:val="16"/>
              <w:numPr>
                <w:ilvl w:val="0"/>
                <w:numId w:val="0"/>
              </w:numPr>
              <w:jc w:val="both"/>
              <w:rPr>
                <w:rFonts w:hint="eastAsia" w:ascii="標楷體" w:hAnsi="標楷體" w:eastAsia="標楷體"/>
                <w:lang w:val="en-US" w:eastAsia="zh-TW"/>
              </w:rPr>
            </w:pPr>
            <w:r>
              <w:rPr>
                <w:rFonts w:hint="eastAsia" w:ascii="標楷體" w:hAnsi="標楷體" w:eastAsia="標楷體"/>
                <w:lang w:val="en-US" w:eastAsia="zh-TW"/>
              </w:rPr>
              <w:t>1.繪本融入教學:好消息與壞消息。</w:t>
            </w:r>
          </w:p>
          <w:p>
            <w:pPr>
              <w:pStyle w:val="16"/>
              <w:numPr>
                <w:ilvl w:val="0"/>
                <w:numId w:val="0"/>
              </w:numPr>
              <w:jc w:val="both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2.能說出繪本主角的困境，並提出適切的處理方法。</w:t>
            </w:r>
          </w:p>
          <w:p>
            <w:pPr>
              <w:pStyle w:val="16"/>
              <w:numPr>
                <w:ilvl w:val="0"/>
                <w:numId w:val="0"/>
              </w:numPr>
              <w:jc w:val="both"/>
              <w:rPr>
                <w:rFonts w:hint="eastAsia" w:ascii="標楷體" w:hAnsi="標楷體" w:eastAsia="標楷體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3.能說出自己類似情境，並「共同」討論適切解決方法與正向思考練習。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64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3</w:t>
            </w:r>
          </w:p>
        </w:tc>
        <w:tc>
          <w:tcPr>
            <w:tcW w:w="3144" w:type="dxa"/>
            <w:gridSpan w:val="5"/>
            <w:vMerge w:val="continue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519" w:type="dxa"/>
            <w:gridSpan w:val="4"/>
            <w:vMerge w:val="continue"/>
          </w:tcPr>
          <w:p>
            <w:pPr>
              <w:pStyle w:val="3"/>
              <w:numPr>
                <w:ilvl w:val="0"/>
                <w:numId w:val="2"/>
              </w:numPr>
              <w:snapToGrid w:val="0"/>
              <w:spacing w:line="280" w:lineRule="atLeast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64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4</w:t>
            </w:r>
          </w:p>
        </w:tc>
        <w:tc>
          <w:tcPr>
            <w:tcW w:w="3144" w:type="dxa"/>
            <w:gridSpan w:val="5"/>
            <w:vMerge w:val="continue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519" w:type="dxa"/>
            <w:gridSpan w:val="4"/>
            <w:vMerge w:val="continue"/>
          </w:tcPr>
          <w:p>
            <w:pPr>
              <w:pStyle w:val="3"/>
              <w:numPr>
                <w:ilvl w:val="0"/>
                <w:numId w:val="2"/>
              </w:numPr>
              <w:snapToGrid w:val="0"/>
              <w:spacing w:line="280" w:lineRule="atLeast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64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5</w:t>
            </w:r>
          </w:p>
        </w:tc>
        <w:tc>
          <w:tcPr>
            <w:tcW w:w="3144" w:type="dxa"/>
            <w:gridSpan w:val="5"/>
            <w:vMerge w:val="restart"/>
            <w:vAlign w:val="center"/>
          </w:tcPr>
          <w:p>
            <w:pPr>
              <w:spacing w:line="276" w:lineRule="auto"/>
              <w:jc w:val="center"/>
              <w:rPr>
                <w:rFonts w:hint="eastAsia" w:ascii="標楷體" w:hAnsi="標楷體" w:eastAsia="標楷體"/>
                <w:b/>
                <w:szCs w:val="20"/>
              </w:rPr>
            </w:pPr>
            <w:r>
              <w:rPr>
                <w:rFonts w:hint="eastAsia" w:ascii="標楷體" w:hAnsi="標楷體" w:eastAsia="標楷體"/>
                <w:b/>
                <w:szCs w:val="20"/>
              </w:rPr>
              <w:t>人際病毒特搜隊</w:t>
            </w:r>
          </w:p>
          <w:p>
            <w:pPr>
              <w:spacing w:line="276" w:lineRule="auto"/>
              <w:jc w:val="center"/>
              <w:rPr>
                <w:rFonts w:hint="eastAsia" w:ascii="標楷體" w:hAnsi="標楷體" w:eastAsia="標楷體"/>
                <w:b/>
                <w:szCs w:val="20"/>
              </w:rPr>
            </w:pPr>
            <w:r>
              <w:rPr>
                <w:rFonts w:hint="eastAsia" w:ascii="標楷體" w:hAnsi="標楷體" w:eastAsia="標楷體"/>
                <w:b/>
                <w:szCs w:val="20"/>
                <w:lang w:eastAsia="zh-TW"/>
              </w:rPr>
              <w:t>進階</w:t>
            </w:r>
            <w:r>
              <w:rPr>
                <w:rFonts w:hint="eastAsia" w:ascii="標楷體" w:hAnsi="標楷體" w:eastAsia="標楷體"/>
                <w:b/>
                <w:szCs w:val="20"/>
                <w:lang w:val="en-US" w:eastAsia="zh-TW"/>
              </w:rPr>
              <w:t>(二)</w:t>
            </w:r>
          </w:p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  <w:r>
              <w:rPr>
                <w:rFonts w:hint="eastAsia" w:ascii="標楷體" w:hAnsi="標楷體" w:eastAsia="標楷體"/>
                <w:b/>
                <w:sz w:val="22"/>
                <w:szCs w:val="22"/>
                <w:lang w:eastAsia="zh-TW"/>
              </w:rPr>
              <w:t>【正負項訊息判斷】</w:t>
            </w:r>
          </w:p>
        </w:tc>
        <w:tc>
          <w:tcPr>
            <w:tcW w:w="5519" w:type="dxa"/>
            <w:gridSpan w:val="4"/>
            <w:vMerge w:val="restart"/>
            <w:vAlign w:val="center"/>
          </w:tcPr>
          <w:p>
            <w:pPr>
              <w:pStyle w:val="16"/>
              <w:numPr>
                <w:ilvl w:val="0"/>
                <w:numId w:val="3"/>
              </w:numPr>
              <w:ind w:leftChars="0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  <w:lang w:eastAsia="zh-TW"/>
              </w:rPr>
              <w:t>影片引導與討論:</w:t>
            </w:r>
            <w:r>
              <w:rPr>
                <w:rFonts w:hint="eastAsia" w:ascii="標楷體" w:hAnsi="標楷體" w:eastAsia="標楷體"/>
                <w:szCs w:val="20"/>
                <w:lang w:val="en-US" w:eastAsia="zh-TW"/>
              </w:rPr>
              <w:t>(1)</w:t>
            </w:r>
            <w:r>
              <w:rPr>
                <w:rFonts w:hint="eastAsia" w:ascii="標楷體" w:hAnsi="標楷體" w:eastAsia="標楷體"/>
                <w:szCs w:val="20"/>
                <w:lang w:eastAsia="zh-TW"/>
              </w:rPr>
              <w:t>黑點</w:t>
            </w:r>
            <w:r>
              <w:rPr>
                <w:rFonts w:hint="eastAsia" w:ascii="標楷體" w:hAnsi="標楷體" w:eastAsia="標楷體"/>
                <w:szCs w:val="20"/>
                <w:lang w:val="en-US" w:eastAsia="zh-TW"/>
              </w:rPr>
              <w:t xml:space="preserve"> (2)做決定的主人</w:t>
            </w:r>
          </w:p>
          <w:p>
            <w:pPr>
              <w:pStyle w:val="16"/>
              <w:numPr>
                <w:ilvl w:val="0"/>
                <w:numId w:val="3"/>
              </w:numPr>
              <w:ind w:leftChars="0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</w:rPr>
              <w:t>能理性評估行為與後果間的關係。</w:t>
            </w:r>
          </w:p>
          <w:p>
            <w:pPr>
              <w:pStyle w:val="16"/>
              <w:numPr>
                <w:ilvl w:val="0"/>
                <w:numId w:val="3"/>
              </w:numPr>
              <w:ind w:leftChars="0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</w:rPr>
              <w:t>能選擇適當解決自我情緒的方式。</w:t>
            </w:r>
          </w:p>
          <w:p>
            <w:pPr>
              <w:pStyle w:val="16"/>
              <w:numPr>
                <w:ilvl w:val="0"/>
                <w:numId w:val="3"/>
              </w:numPr>
              <w:ind w:leftChars="0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</w:rPr>
              <w:t>能接受他人建議處理事情。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64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6</w:t>
            </w:r>
          </w:p>
        </w:tc>
        <w:tc>
          <w:tcPr>
            <w:tcW w:w="3144" w:type="dxa"/>
            <w:gridSpan w:val="5"/>
            <w:vMerge w:val="continue"/>
            <w:vAlign w:val="center"/>
          </w:tcPr>
          <w:p>
            <w:pPr>
              <w:spacing w:line="240" w:lineRule="exact"/>
              <w:jc w:val="center"/>
              <w:rPr>
                <w:rFonts w:hint="eastAsia" w:ascii="標楷體" w:hAnsi="標楷體" w:eastAsia="標楷體"/>
                <w:b/>
                <w:sz w:val="22"/>
                <w:szCs w:val="22"/>
                <w:lang w:eastAsia="zh-TW"/>
              </w:rPr>
            </w:pPr>
          </w:p>
        </w:tc>
        <w:tc>
          <w:tcPr>
            <w:tcW w:w="5519" w:type="dxa"/>
            <w:gridSpan w:val="4"/>
            <w:vMerge w:val="continue"/>
            <w:vAlign w:val="center"/>
          </w:tcPr>
          <w:p>
            <w:pPr>
              <w:pStyle w:val="16"/>
              <w:numPr>
                <w:ilvl w:val="0"/>
                <w:numId w:val="3"/>
              </w:numPr>
              <w:ind w:leftChars="0"/>
              <w:rPr>
                <w:rFonts w:hint="eastAsia" w:ascii="標楷體" w:hAnsi="標楷體" w:eastAsia="標楷體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64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7</w:t>
            </w:r>
          </w:p>
        </w:tc>
        <w:tc>
          <w:tcPr>
            <w:tcW w:w="3144" w:type="dxa"/>
            <w:gridSpan w:val="5"/>
            <w:vMerge w:val="continue"/>
            <w:vAlign w:val="center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519" w:type="dxa"/>
            <w:gridSpan w:val="4"/>
            <w:vMerge w:val="continue"/>
          </w:tcPr>
          <w:p>
            <w:pPr>
              <w:pStyle w:val="3"/>
              <w:numPr>
                <w:ilvl w:val="0"/>
                <w:numId w:val="2"/>
              </w:numPr>
              <w:snapToGrid w:val="0"/>
              <w:spacing w:line="280" w:lineRule="atLeast"/>
              <w:rPr>
                <w:rFonts w:ascii="標楷體" w:hAnsi="標楷體" w:eastAsia="標楷體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64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8</w:t>
            </w:r>
          </w:p>
        </w:tc>
        <w:tc>
          <w:tcPr>
            <w:tcW w:w="3144" w:type="dxa"/>
            <w:gridSpan w:val="5"/>
            <w:vMerge w:val="restart"/>
            <w:vAlign w:val="center"/>
          </w:tcPr>
          <w:p>
            <w:pPr>
              <w:spacing w:line="240" w:lineRule="exact"/>
              <w:jc w:val="center"/>
              <w:rPr>
                <w:rFonts w:ascii="標楷體" w:hAnsi="標楷體" w:eastAsia="標楷體"/>
                <w:b/>
                <w:szCs w:val="20"/>
              </w:rPr>
            </w:pPr>
            <w:r>
              <w:rPr>
                <w:rFonts w:hint="eastAsia" w:ascii="標楷體" w:hAnsi="標楷體" w:eastAsia="標楷體"/>
                <w:b/>
                <w:szCs w:val="20"/>
              </w:rPr>
              <w:t>人際俱樂部(</w:t>
            </w:r>
            <w:r>
              <w:rPr>
                <w:rFonts w:hint="eastAsia" w:ascii="標楷體" w:hAnsi="標楷體" w:eastAsia="標楷體"/>
                <w:b/>
                <w:szCs w:val="20"/>
                <w:lang w:eastAsia="zh-TW"/>
              </w:rPr>
              <w:t>六</w:t>
            </w:r>
            <w:r>
              <w:rPr>
                <w:rFonts w:hint="eastAsia" w:ascii="標楷體" w:hAnsi="標楷體" w:eastAsia="標楷體"/>
                <w:b/>
                <w:szCs w:val="20"/>
              </w:rPr>
              <w:t>)-</w:t>
            </w:r>
            <w:r>
              <w:rPr>
                <w:rFonts w:hint="eastAsia" w:ascii="標楷體" w:hAnsi="標楷體" w:eastAsia="標楷體"/>
                <w:b/>
                <w:szCs w:val="20"/>
                <w:lang w:val="en-US" w:eastAsia="zh-TW"/>
              </w:rPr>
              <w:t>3</w:t>
            </w:r>
          </w:p>
          <w:p>
            <w:pPr>
              <w:jc w:val="center"/>
              <w:rPr>
                <w:rFonts w:hint="eastAsia" w:ascii="標楷體" w:hAnsi="標楷體" w:eastAsia="標楷體"/>
                <w:b/>
                <w:szCs w:val="20"/>
              </w:rPr>
            </w:pPr>
            <w:r>
              <w:rPr>
                <w:rFonts w:hint="eastAsia" w:ascii="標楷體" w:hAnsi="標楷體" w:eastAsia="標楷體"/>
                <w:b/>
                <w:szCs w:val="20"/>
              </w:rPr>
              <w:t>處理問題與</w:t>
            </w:r>
          </w:p>
          <w:p>
            <w:pPr>
              <w:jc w:val="center"/>
              <w:rPr>
                <w:rFonts w:hint="eastAsia" w:ascii="標楷體" w:hAnsi="標楷體" w:eastAsia="標楷體"/>
                <w:b/>
                <w:szCs w:val="20"/>
                <w:lang w:eastAsia="zh-TW"/>
              </w:rPr>
            </w:pPr>
            <w:r>
              <w:rPr>
                <w:rFonts w:hint="eastAsia" w:ascii="標楷體" w:hAnsi="標楷體" w:eastAsia="標楷體"/>
                <w:b/>
                <w:szCs w:val="20"/>
              </w:rPr>
              <w:t>處理遊戲衝突</w:t>
            </w:r>
            <w:r>
              <w:rPr>
                <w:rFonts w:hint="eastAsia" w:ascii="標楷體" w:hAnsi="標楷體" w:eastAsia="標楷體"/>
                <w:b/>
                <w:szCs w:val="20"/>
                <w:lang w:eastAsia="zh-TW"/>
              </w:rPr>
              <w:t>技能應用</w:t>
            </w:r>
          </w:p>
          <w:p>
            <w:pPr>
              <w:jc w:val="center"/>
            </w:pPr>
            <w:r>
              <w:rPr>
                <w:rFonts w:hint="eastAsia" w:ascii="標楷體" w:hAnsi="標楷體" w:eastAsia="標楷體"/>
                <w:b/>
                <w:sz w:val="20"/>
                <w:szCs w:val="20"/>
              </w:rPr>
              <w:t>(與他人相處的技能)</w:t>
            </w:r>
          </w:p>
        </w:tc>
        <w:tc>
          <w:tcPr>
            <w:tcW w:w="5519" w:type="dxa"/>
            <w:gridSpan w:val="4"/>
            <w:vMerge w:val="restart"/>
            <w:vAlign w:val="center"/>
          </w:tcPr>
          <w:p>
            <w:pPr>
              <w:pStyle w:val="3"/>
              <w:snapToGrid w:val="0"/>
              <w:spacing w:line="280" w:lineRule="atLeast"/>
              <w:jc w:val="both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  <w:szCs w:val="20"/>
              </w:rPr>
              <w:t>透過小組討論、影片與情境演練引導學生相處技能，</w:t>
            </w:r>
            <w:r>
              <w:rPr>
                <w:rFonts w:hint="eastAsia" w:ascii="標楷體" w:hAnsi="標楷體" w:eastAsia="標楷體"/>
                <w:szCs w:val="20"/>
                <w:lang w:eastAsia="zh-TW"/>
              </w:rPr>
              <w:t>並將桌遊融入課程</w:t>
            </w:r>
            <w:r>
              <w:rPr>
                <w:rFonts w:hint="eastAsia" w:ascii="標楷體" w:hAnsi="標楷體" w:eastAsia="標楷體"/>
                <w:szCs w:val="20"/>
                <w:lang w:val="en-US" w:eastAsia="zh-TW"/>
              </w:rPr>
              <w:t>-【換你說囉!】【怪獸來了】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</w:trPr>
        <w:tc>
          <w:tcPr>
            <w:tcW w:w="64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9</w:t>
            </w:r>
          </w:p>
        </w:tc>
        <w:tc>
          <w:tcPr>
            <w:tcW w:w="3144" w:type="dxa"/>
            <w:gridSpan w:val="5"/>
            <w:vMerge w:val="continue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519" w:type="dxa"/>
            <w:gridSpan w:val="4"/>
            <w:vMerge w:val="continue"/>
          </w:tcPr>
          <w:p>
            <w:pPr>
              <w:pStyle w:val="3"/>
              <w:numPr>
                <w:ilvl w:val="0"/>
                <w:numId w:val="4"/>
              </w:numPr>
              <w:snapToGrid w:val="0"/>
              <w:spacing w:line="280" w:lineRule="atLeast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64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10</w:t>
            </w:r>
          </w:p>
        </w:tc>
        <w:tc>
          <w:tcPr>
            <w:tcW w:w="3144" w:type="dxa"/>
            <w:gridSpan w:val="5"/>
            <w:vMerge w:val="continue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519" w:type="dxa"/>
            <w:gridSpan w:val="4"/>
            <w:vMerge w:val="continue"/>
          </w:tcPr>
          <w:p>
            <w:pPr>
              <w:pStyle w:val="3"/>
              <w:numPr>
                <w:ilvl w:val="0"/>
                <w:numId w:val="4"/>
              </w:numPr>
              <w:snapToGrid w:val="0"/>
              <w:spacing w:line="280" w:lineRule="atLeast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4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ascii="標楷體" w:hAnsi="標楷體" w:eastAsia="標楷體"/>
                <w:szCs w:val="28"/>
              </w:rPr>
              <w:t>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1</w:t>
            </w:r>
          </w:p>
        </w:tc>
        <w:tc>
          <w:tcPr>
            <w:tcW w:w="3144" w:type="dxa"/>
            <w:gridSpan w:val="5"/>
            <w:vMerge w:val="continue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519" w:type="dxa"/>
            <w:gridSpan w:val="4"/>
            <w:vMerge w:val="continue"/>
          </w:tcPr>
          <w:p>
            <w:pPr>
              <w:pStyle w:val="3"/>
              <w:numPr>
                <w:ilvl w:val="0"/>
                <w:numId w:val="4"/>
              </w:numPr>
              <w:snapToGrid w:val="0"/>
              <w:spacing w:line="280" w:lineRule="atLeast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64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2</w:t>
            </w:r>
          </w:p>
        </w:tc>
        <w:tc>
          <w:tcPr>
            <w:tcW w:w="3144" w:type="dxa"/>
            <w:gridSpan w:val="5"/>
            <w:vMerge w:val="restart"/>
            <w:shd w:val="clear" w:color="auto" w:fill="FFFFFF" w:themeFill="background1"/>
            <w:vAlign w:val="center"/>
          </w:tcPr>
          <w:p>
            <w:pPr>
              <w:spacing w:line="240" w:lineRule="exact"/>
              <w:jc w:val="center"/>
              <w:rPr>
                <w:rFonts w:hint="eastAsia" w:ascii="標楷體" w:hAnsi="標楷體" w:eastAsia="標楷體"/>
                <w:b/>
                <w:szCs w:val="20"/>
                <w:lang w:val="en-US" w:eastAsia="zh-TW"/>
              </w:rPr>
            </w:pPr>
            <w:r>
              <w:rPr>
                <w:rFonts w:hint="eastAsia" w:eastAsia="標楷體"/>
                <w:szCs w:val="24"/>
              </w:rPr>
              <w:t xml:space="preserve">  </w:t>
            </w:r>
            <w:r>
              <w:rPr>
                <w:rFonts w:hint="eastAsia" w:ascii="標楷體" w:hAnsi="標楷體" w:eastAsia="標楷體"/>
                <w:b/>
                <w:szCs w:val="20"/>
              </w:rPr>
              <w:t>人際俱樂部(</w:t>
            </w:r>
            <w:r>
              <w:rPr>
                <w:rFonts w:hint="eastAsia" w:ascii="標楷體" w:hAnsi="標楷體" w:eastAsia="標楷體"/>
                <w:b/>
                <w:szCs w:val="20"/>
                <w:lang w:eastAsia="zh-TW"/>
              </w:rPr>
              <w:t>六</w:t>
            </w:r>
            <w:r>
              <w:rPr>
                <w:rFonts w:hint="eastAsia" w:ascii="標楷體" w:hAnsi="標楷體" w:eastAsia="標楷體"/>
                <w:b/>
                <w:szCs w:val="20"/>
              </w:rPr>
              <w:t>)-</w:t>
            </w:r>
            <w:r>
              <w:rPr>
                <w:rFonts w:hint="eastAsia" w:ascii="標楷體" w:hAnsi="標楷體" w:eastAsia="標楷體"/>
                <w:b/>
                <w:szCs w:val="20"/>
                <w:lang w:val="en-US" w:eastAsia="zh-TW"/>
              </w:rPr>
              <w:t>4</w:t>
            </w:r>
          </w:p>
          <w:p>
            <w:pPr>
              <w:jc w:val="center"/>
              <w:rPr>
                <w:rFonts w:hint="eastAsia" w:ascii="標楷體" w:hAnsi="標楷體" w:eastAsia="標楷體"/>
                <w:b/>
                <w:szCs w:val="20"/>
                <w:lang w:eastAsia="zh-TW"/>
              </w:rPr>
            </w:pPr>
            <w:r>
              <w:rPr>
                <w:rFonts w:hint="eastAsia" w:ascii="標楷體" w:hAnsi="標楷體" w:eastAsia="標楷體"/>
                <w:b/>
                <w:szCs w:val="20"/>
                <w:lang w:eastAsia="zh-TW"/>
              </w:rPr>
              <w:t>邀請班級同儕到班</w:t>
            </w:r>
          </w:p>
          <w:p>
            <w:pPr>
              <w:jc w:val="center"/>
              <w:rPr>
                <w:rFonts w:hint="eastAsia" w:ascii="標楷體" w:hAnsi="標楷體" w:eastAsia="標楷體"/>
                <w:b/>
                <w:sz w:val="20"/>
                <w:szCs w:val="20"/>
              </w:rPr>
            </w:pPr>
            <w:r>
              <w:rPr>
                <w:rFonts w:hint="eastAsia" w:ascii="標楷體" w:hAnsi="標楷體" w:eastAsia="標楷體"/>
                <w:b/>
                <w:sz w:val="20"/>
                <w:szCs w:val="20"/>
                <w:lang w:val="en-US" w:eastAsia="zh-TW"/>
              </w:rPr>
              <w:t>(</w:t>
            </w:r>
            <w:r>
              <w:rPr>
                <w:rFonts w:hint="eastAsia" w:ascii="標楷體" w:hAnsi="標楷體" w:eastAsia="標楷體"/>
                <w:b/>
                <w:sz w:val="20"/>
                <w:szCs w:val="20"/>
                <w:lang w:eastAsia="zh-TW"/>
              </w:rPr>
              <w:t>練習</w:t>
            </w:r>
            <w:r>
              <w:rPr>
                <w:rFonts w:hint="eastAsia" w:ascii="標楷體" w:hAnsi="標楷體" w:eastAsia="標楷體"/>
                <w:b/>
                <w:sz w:val="20"/>
                <w:szCs w:val="20"/>
              </w:rPr>
              <w:t>與他人相處的</w:t>
            </w:r>
            <w:r>
              <w:rPr>
                <w:rFonts w:hint="eastAsia" w:ascii="標楷體" w:hAnsi="標楷體" w:eastAsia="標楷體"/>
                <w:b/>
                <w:sz w:val="20"/>
                <w:szCs w:val="20"/>
                <w:lang w:eastAsia="zh-TW"/>
              </w:rPr>
              <w:t>相關</w:t>
            </w:r>
            <w:r>
              <w:rPr>
                <w:rFonts w:hint="eastAsia" w:ascii="標楷體" w:hAnsi="標楷體" w:eastAsia="標楷體"/>
                <w:b/>
                <w:sz w:val="20"/>
                <w:szCs w:val="20"/>
              </w:rPr>
              <w:t>技能)</w:t>
            </w:r>
          </w:p>
          <w:p>
            <w:pPr>
              <w:jc w:val="center"/>
              <w:rPr>
                <w:rFonts w:ascii="標楷體" w:hAnsi="標楷體" w:eastAsia="標楷體"/>
                <w:b/>
                <w:szCs w:val="20"/>
              </w:rPr>
            </w:pPr>
          </w:p>
        </w:tc>
        <w:tc>
          <w:tcPr>
            <w:tcW w:w="5519" w:type="dxa"/>
            <w:gridSpan w:val="4"/>
            <w:vMerge w:val="restart"/>
            <w:vAlign w:val="center"/>
          </w:tcPr>
          <w:p>
            <w:pPr>
              <w:pStyle w:val="17"/>
              <w:numPr>
                <w:ilvl w:val="0"/>
                <w:numId w:val="5"/>
              </w:numPr>
              <w:ind w:leftChars="0"/>
              <w:jc w:val="both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</w:rPr>
              <w:t>學習從別人的角度思考，學會同理心</w:t>
            </w:r>
          </w:p>
          <w:p>
            <w:pPr>
              <w:pStyle w:val="17"/>
              <w:numPr>
                <w:ilvl w:val="0"/>
                <w:numId w:val="5"/>
              </w:numPr>
              <w:ind w:leftChars="0"/>
              <w:jc w:val="both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</w:rPr>
              <w:t xml:space="preserve">教導孩子表達對別人情緒的接納和瞭解。 </w:t>
            </w:r>
          </w:p>
          <w:p>
            <w:pPr>
              <w:pStyle w:val="3"/>
              <w:snapToGrid w:val="0"/>
              <w:spacing w:line="280" w:lineRule="atLeast"/>
              <w:jc w:val="both"/>
              <w:rPr>
                <w:rFonts w:ascii="標楷體" w:eastAsia="標楷體" w:cs="標楷體" w:hAnsiTheme="minorHAnsi"/>
                <w:color w:val="000000"/>
                <w:kern w:val="0"/>
                <w:szCs w:val="23"/>
              </w:rPr>
            </w:pPr>
            <w:r>
              <w:rPr>
                <w:rFonts w:hint="eastAsia" w:ascii="標楷體" w:hAnsi="標楷體" w:eastAsia="標楷體"/>
                <w:szCs w:val="20"/>
              </w:rPr>
              <w:t>利用桌遊融入課程，並引導孩子邀情班級同儕共同進行課程，促進融合。桌遊融入技能如下:</w:t>
            </w:r>
          </w:p>
          <w:p>
            <w:pPr>
              <w:pStyle w:val="17"/>
              <w:numPr>
                <w:ilvl w:val="1"/>
                <w:numId w:val="6"/>
              </w:numPr>
              <w:spacing w:line="0" w:lineRule="atLeast"/>
              <w:ind w:leftChars="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能專心聽完並理解桌遊規則。</w:t>
            </w:r>
          </w:p>
          <w:p>
            <w:pPr>
              <w:pStyle w:val="17"/>
              <w:numPr>
                <w:ilvl w:val="1"/>
                <w:numId w:val="6"/>
              </w:numPr>
              <w:spacing w:line="0" w:lineRule="atLeast"/>
              <w:ind w:leftChars="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能按照規則進行實際的操作活動。</w:t>
            </w:r>
          </w:p>
          <w:p>
            <w:pPr>
              <w:pStyle w:val="3"/>
              <w:numPr>
                <w:ilvl w:val="1"/>
                <w:numId w:val="6"/>
              </w:numPr>
              <w:snapToGrid w:val="0"/>
              <w:spacing w:line="280" w:lineRule="atLeast"/>
              <w:jc w:val="both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能分享玩桌遊過程中和結束後自己的心情。</w:t>
            </w:r>
          </w:p>
          <w:p>
            <w:pPr>
              <w:pStyle w:val="3"/>
              <w:numPr>
                <w:ilvl w:val="1"/>
                <w:numId w:val="6"/>
              </w:numPr>
              <w:snapToGrid w:val="0"/>
              <w:spacing w:line="280" w:lineRule="atLeast"/>
              <w:ind w:left="960" w:leftChars="0" w:hanging="480" w:firstLineChars="0"/>
              <w:jc w:val="both"/>
              <w:rPr>
                <w:rFonts w:ascii="標楷體" w:eastAsia="標楷體" w:cs="標楷體" w:hAnsiTheme="minorHAnsi"/>
                <w:color w:val="000000"/>
                <w:kern w:val="0"/>
                <w:szCs w:val="23"/>
              </w:rPr>
            </w:pPr>
            <w:r>
              <w:rPr>
                <w:rFonts w:ascii="標楷體" w:eastAsia="標楷體" w:cs="標楷體" w:hAnsiTheme="minorHAnsi"/>
                <w:color w:val="000000"/>
                <w:kern w:val="0"/>
                <w:szCs w:val="23"/>
              </w:rPr>
              <w:t>能嘗試應用-前段部分所教授之技能。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64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3</w:t>
            </w:r>
          </w:p>
        </w:tc>
        <w:tc>
          <w:tcPr>
            <w:tcW w:w="3144" w:type="dxa"/>
            <w:gridSpan w:val="5"/>
            <w:vMerge w:val="continue"/>
            <w:shd w:val="clear" w:color="auto" w:fill="FFFFFF" w:themeFill="background1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519" w:type="dxa"/>
            <w:gridSpan w:val="4"/>
            <w:vMerge w:val="continue"/>
          </w:tcPr>
          <w:p>
            <w:pPr>
              <w:pStyle w:val="3"/>
              <w:snapToGrid w:val="0"/>
              <w:spacing w:line="280" w:lineRule="atLeast"/>
              <w:rPr>
                <w:rFonts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64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4</w:t>
            </w:r>
          </w:p>
        </w:tc>
        <w:tc>
          <w:tcPr>
            <w:tcW w:w="3144" w:type="dxa"/>
            <w:gridSpan w:val="5"/>
            <w:vMerge w:val="continue"/>
            <w:shd w:val="clear" w:color="auto" w:fill="FFFFFF" w:themeFill="background1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519" w:type="dxa"/>
            <w:gridSpan w:val="4"/>
            <w:vMerge w:val="continue"/>
          </w:tcPr>
          <w:p>
            <w:pPr>
              <w:pStyle w:val="3"/>
              <w:snapToGrid w:val="0"/>
              <w:spacing w:line="280" w:lineRule="atLeast"/>
              <w:rPr>
                <w:rFonts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64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15</w:t>
            </w:r>
          </w:p>
        </w:tc>
        <w:tc>
          <w:tcPr>
            <w:tcW w:w="3144" w:type="dxa"/>
            <w:gridSpan w:val="5"/>
            <w:vMerge w:val="continue"/>
            <w:shd w:val="clear" w:color="auto" w:fill="FFFFFF" w:themeFill="background1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519" w:type="dxa"/>
            <w:gridSpan w:val="4"/>
            <w:vMerge w:val="continue"/>
          </w:tcPr>
          <w:p>
            <w:pPr>
              <w:pStyle w:val="3"/>
              <w:snapToGrid w:val="0"/>
              <w:spacing w:line="280" w:lineRule="atLeast"/>
              <w:rPr>
                <w:rFonts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64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16</w:t>
            </w:r>
          </w:p>
        </w:tc>
        <w:tc>
          <w:tcPr>
            <w:tcW w:w="3144" w:type="dxa"/>
            <w:gridSpan w:val="5"/>
            <w:vMerge w:val="continue"/>
            <w:shd w:val="clear" w:color="auto" w:fill="FFFFFF" w:themeFill="background1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519" w:type="dxa"/>
            <w:gridSpan w:val="4"/>
            <w:vMerge w:val="continue"/>
          </w:tcPr>
          <w:p>
            <w:pPr>
              <w:pStyle w:val="3"/>
              <w:snapToGrid w:val="0"/>
              <w:spacing w:line="280" w:lineRule="atLeast"/>
              <w:rPr>
                <w:rFonts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64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17</w:t>
            </w:r>
          </w:p>
        </w:tc>
        <w:tc>
          <w:tcPr>
            <w:tcW w:w="3144" w:type="dxa"/>
            <w:gridSpan w:val="5"/>
            <w:vMerge w:val="restart"/>
            <w:shd w:val="clear" w:color="auto" w:fill="FFFFFF" w:themeFill="background1"/>
            <w:vAlign w:val="center"/>
          </w:tcPr>
          <w:p>
            <w:pPr>
              <w:spacing w:line="0" w:lineRule="atLeast"/>
              <w:ind w:firstLine="2" w:firstLineChars="0"/>
              <w:jc w:val="center"/>
              <w:rPr>
                <w:rFonts w:eastAsia="標楷體"/>
                <w:szCs w:val="24"/>
              </w:rPr>
            </w:pPr>
            <w:r>
              <w:rPr>
                <w:rFonts w:hint="eastAsia" w:ascii="標楷體" w:hAnsi="標楷體" w:eastAsia="標楷體"/>
                <w:b/>
                <w:bCs/>
                <w:color w:val="000000"/>
                <w:szCs w:val="24"/>
              </w:rPr>
              <w:t>期末總檢討</w:t>
            </w:r>
            <w:r>
              <w:rPr>
                <w:rFonts w:hint="eastAsia" w:ascii="標楷體" w:hAnsi="標楷體" w:eastAsia="標楷體"/>
                <w:b/>
                <w:bCs/>
                <w:color w:val="000000"/>
                <w:szCs w:val="24"/>
                <w:lang w:eastAsia="zh-TW"/>
              </w:rPr>
              <w:t>與課程回顧</w:t>
            </w:r>
            <w:bookmarkStart w:id="0" w:name="_GoBack"/>
            <w:bookmarkEnd w:id="0"/>
            <w:r>
              <w:rPr>
                <w:rFonts w:hint="eastAsia" w:ascii="標楷體" w:hAnsi="標楷體" w:eastAsia="標楷體"/>
                <w:b/>
                <w:bCs/>
                <w:color w:val="000000"/>
                <w:szCs w:val="24"/>
              </w:rPr>
              <w:t>:</w:t>
            </w:r>
          </w:p>
        </w:tc>
        <w:tc>
          <w:tcPr>
            <w:tcW w:w="5519" w:type="dxa"/>
            <w:gridSpan w:val="4"/>
            <w:vMerge w:val="restart"/>
            <w:vAlign w:val="center"/>
          </w:tcPr>
          <w:p>
            <w:pPr>
              <w:spacing w:line="0" w:lineRule="atLeast"/>
              <w:ind w:left="312" w:hanging="312" w:hangingChars="13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1.能專心回顧本學期活動內容。</w:t>
            </w:r>
          </w:p>
          <w:p>
            <w:pPr>
              <w:spacing w:line="0" w:lineRule="atLeast"/>
              <w:ind w:left="312" w:hanging="312" w:hangingChars="13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2.能分享活動中，最喜歡和最討厭的內容。</w:t>
            </w:r>
          </w:p>
          <w:p>
            <w:pPr>
              <w:spacing w:line="0" w:lineRule="atLeast"/>
              <w:ind w:left="312" w:hanging="312" w:hangingChars="13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3.能分享自己一學期來透過活動的成長，即要待加強之處。</w:t>
            </w:r>
          </w:p>
          <w:p>
            <w:pPr>
              <w:spacing w:line="0" w:lineRule="atLeast"/>
              <w:ind w:left="312" w:leftChars="0" w:hanging="312" w:hangingChars="130"/>
              <w:jc w:val="both"/>
              <w:rPr>
                <w:rFonts w:eastAsia="標楷體"/>
              </w:rPr>
            </w:pPr>
            <w:r>
              <w:rPr>
                <w:rFonts w:hint="eastAsia" w:ascii="標楷體" w:hAnsi="標楷體" w:eastAsia="標楷體"/>
                <w:szCs w:val="24"/>
              </w:rPr>
              <w:t>4.能實際口頭讚美其他同學的好表現。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64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18</w:t>
            </w:r>
          </w:p>
        </w:tc>
        <w:tc>
          <w:tcPr>
            <w:tcW w:w="3144" w:type="dxa"/>
            <w:gridSpan w:val="5"/>
            <w:vMerge w:val="continue"/>
            <w:shd w:val="clear" w:color="auto" w:fill="FFFFFF" w:themeFill="background1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519" w:type="dxa"/>
            <w:gridSpan w:val="4"/>
            <w:vMerge w:val="continue"/>
          </w:tcPr>
          <w:p>
            <w:pPr>
              <w:pStyle w:val="3"/>
              <w:snapToGrid w:val="0"/>
              <w:spacing w:line="280" w:lineRule="atLeast"/>
              <w:rPr>
                <w:rFonts w:eastAsia="標楷體"/>
              </w:rPr>
            </w:pPr>
          </w:p>
        </w:tc>
      </w:tr>
    </w:tbl>
    <w:p>
      <w:pPr>
        <w:spacing w:line="240" w:lineRule="exact"/>
        <w:rPr>
          <w:rFonts w:ascii="標楷體" w:hAnsi="標楷體" w:eastAsia="標楷體"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sectPr>
      <w:pgSz w:w="11906" w:h="16838"/>
      <w:pgMar w:top="1135" w:right="991" w:bottom="1134" w:left="1134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標楷體">
    <w:panose1 w:val="03000509000000000000"/>
    <w:charset w:val="88"/>
    <w:family w:val="script"/>
    <w:pitch w:val="default"/>
    <w:sig w:usb0="00000003" w:usb1="082E0000" w:usb2="00000016" w:usb3="00000000" w:csb0="00100001" w:csb1="00000000"/>
  </w:font>
  <w:font w:name="Arial Unicode MS">
    <w:altName w:val="Arial"/>
    <w:panose1 w:val="020B0604020202020204"/>
    <w:charset w:val="88"/>
    <w:family w:val="swiss"/>
    <w:pitch w:val="default"/>
    <w:sig w:usb0="00000000" w:usb1="00000000" w:usb2="0000003F" w:usb3="00000000" w:csb0="003F01FF" w:csb1="00000000"/>
  </w:font>
  <w:font w:name="Arial Unicode MS">
    <w:altName w:val="SimSun"/>
    <w:panose1 w:val="020B0604020202020204"/>
    <w:charset w:val="86"/>
    <w:family w:val="roman"/>
    <w:pitch w:val="default"/>
    <w:sig w:usb0="00000000" w:usb1="00000000" w:usb2="0000007F" w:usb3="00000000" w:csb0="203F01FF" w:csb1="DFFF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957576"/>
    <w:multiLevelType w:val="multilevel"/>
    <w:tmpl w:val="2995757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427A7C0A"/>
    <w:multiLevelType w:val="multilevel"/>
    <w:tmpl w:val="427A7C0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493D7023"/>
    <w:multiLevelType w:val="multilevel"/>
    <w:tmpl w:val="493D7023"/>
    <w:lvl w:ilvl="0" w:tentative="0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3">
    <w:nsid w:val="4FC87DF0"/>
    <w:multiLevelType w:val="multilevel"/>
    <w:tmpl w:val="4FC87DF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572E5359"/>
    <w:multiLevelType w:val="multilevel"/>
    <w:tmpl w:val="572E535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664D6C6B"/>
    <w:multiLevelType w:val="multilevel"/>
    <w:tmpl w:val="664D6C6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609"/>
    <w:rsid w:val="00001877"/>
    <w:rsid w:val="00004B34"/>
    <w:rsid w:val="00007C4F"/>
    <w:rsid w:val="00012681"/>
    <w:rsid w:val="00034A86"/>
    <w:rsid w:val="00040946"/>
    <w:rsid w:val="00047C74"/>
    <w:rsid w:val="00050637"/>
    <w:rsid w:val="00082C8C"/>
    <w:rsid w:val="00090D23"/>
    <w:rsid w:val="000A0295"/>
    <w:rsid w:val="000A66A0"/>
    <w:rsid w:val="000B0BA2"/>
    <w:rsid w:val="000E5F20"/>
    <w:rsid w:val="001203DE"/>
    <w:rsid w:val="00131CD3"/>
    <w:rsid w:val="00140E6C"/>
    <w:rsid w:val="001430A8"/>
    <w:rsid w:val="00144641"/>
    <w:rsid w:val="001471D4"/>
    <w:rsid w:val="001513AF"/>
    <w:rsid w:val="00156700"/>
    <w:rsid w:val="00167300"/>
    <w:rsid w:val="00174ED1"/>
    <w:rsid w:val="00182751"/>
    <w:rsid w:val="001913FE"/>
    <w:rsid w:val="001B4FE0"/>
    <w:rsid w:val="001C7358"/>
    <w:rsid w:val="001D0DC4"/>
    <w:rsid w:val="00215B90"/>
    <w:rsid w:val="00220942"/>
    <w:rsid w:val="00234A27"/>
    <w:rsid w:val="00236D06"/>
    <w:rsid w:val="00250C86"/>
    <w:rsid w:val="00272F0A"/>
    <w:rsid w:val="002770F8"/>
    <w:rsid w:val="002843DD"/>
    <w:rsid w:val="002918B3"/>
    <w:rsid w:val="002C564D"/>
    <w:rsid w:val="002D3AA9"/>
    <w:rsid w:val="002E2C51"/>
    <w:rsid w:val="00321680"/>
    <w:rsid w:val="00321D59"/>
    <w:rsid w:val="00324AD5"/>
    <w:rsid w:val="00326CAC"/>
    <w:rsid w:val="00352F07"/>
    <w:rsid w:val="0036240B"/>
    <w:rsid w:val="0036469B"/>
    <w:rsid w:val="00375D85"/>
    <w:rsid w:val="00377307"/>
    <w:rsid w:val="00381C9B"/>
    <w:rsid w:val="00393797"/>
    <w:rsid w:val="00395DBC"/>
    <w:rsid w:val="003A1DD1"/>
    <w:rsid w:val="003A788A"/>
    <w:rsid w:val="003D4CC3"/>
    <w:rsid w:val="003F1896"/>
    <w:rsid w:val="003F66E0"/>
    <w:rsid w:val="00400173"/>
    <w:rsid w:val="00410296"/>
    <w:rsid w:val="00410DE8"/>
    <w:rsid w:val="00411ACC"/>
    <w:rsid w:val="00424CAA"/>
    <w:rsid w:val="00432841"/>
    <w:rsid w:val="004411B7"/>
    <w:rsid w:val="00441599"/>
    <w:rsid w:val="0044255F"/>
    <w:rsid w:val="00467AA8"/>
    <w:rsid w:val="0047103F"/>
    <w:rsid w:val="00473AFB"/>
    <w:rsid w:val="004748BF"/>
    <w:rsid w:val="004B650B"/>
    <w:rsid w:val="004D13D9"/>
    <w:rsid w:val="00523B25"/>
    <w:rsid w:val="00541785"/>
    <w:rsid w:val="0054505E"/>
    <w:rsid w:val="00552000"/>
    <w:rsid w:val="005577E1"/>
    <w:rsid w:val="00575721"/>
    <w:rsid w:val="0058161A"/>
    <w:rsid w:val="00584D7A"/>
    <w:rsid w:val="00584D81"/>
    <w:rsid w:val="00592417"/>
    <w:rsid w:val="005A3165"/>
    <w:rsid w:val="005A6869"/>
    <w:rsid w:val="005D6A44"/>
    <w:rsid w:val="005F5D1A"/>
    <w:rsid w:val="00620FA3"/>
    <w:rsid w:val="006269DF"/>
    <w:rsid w:val="00634839"/>
    <w:rsid w:val="006476D7"/>
    <w:rsid w:val="00652156"/>
    <w:rsid w:val="006760B2"/>
    <w:rsid w:val="00676BE9"/>
    <w:rsid w:val="00686F51"/>
    <w:rsid w:val="006A6394"/>
    <w:rsid w:val="006A7187"/>
    <w:rsid w:val="006B6524"/>
    <w:rsid w:val="006B661C"/>
    <w:rsid w:val="006C27E1"/>
    <w:rsid w:val="006C3A3B"/>
    <w:rsid w:val="006F0775"/>
    <w:rsid w:val="007116D0"/>
    <w:rsid w:val="00711867"/>
    <w:rsid w:val="00723B0E"/>
    <w:rsid w:val="00727213"/>
    <w:rsid w:val="00733E0B"/>
    <w:rsid w:val="0074336D"/>
    <w:rsid w:val="00752A8D"/>
    <w:rsid w:val="00762398"/>
    <w:rsid w:val="00790C09"/>
    <w:rsid w:val="007A7A05"/>
    <w:rsid w:val="007D4D90"/>
    <w:rsid w:val="007E7F91"/>
    <w:rsid w:val="007F2C2E"/>
    <w:rsid w:val="008049B3"/>
    <w:rsid w:val="00807578"/>
    <w:rsid w:val="00821337"/>
    <w:rsid w:val="00835C2E"/>
    <w:rsid w:val="00836B59"/>
    <w:rsid w:val="008404B4"/>
    <w:rsid w:val="00851385"/>
    <w:rsid w:val="008859E7"/>
    <w:rsid w:val="008861FD"/>
    <w:rsid w:val="008A03E4"/>
    <w:rsid w:val="008A0D3F"/>
    <w:rsid w:val="008C2913"/>
    <w:rsid w:val="008E1290"/>
    <w:rsid w:val="00927933"/>
    <w:rsid w:val="00931B09"/>
    <w:rsid w:val="00941C83"/>
    <w:rsid w:val="0096260E"/>
    <w:rsid w:val="00982A3D"/>
    <w:rsid w:val="00984E1C"/>
    <w:rsid w:val="00991FB7"/>
    <w:rsid w:val="009A1BD6"/>
    <w:rsid w:val="009B3463"/>
    <w:rsid w:val="009C2E63"/>
    <w:rsid w:val="009C6F78"/>
    <w:rsid w:val="009D4DF6"/>
    <w:rsid w:val="00A17A9A"/>
    <w:rsid w:val="00A22BBF"/>
    <w:rsid w:val="00A2511F"/>
    <w:rsid w:val="00A32CDD"/>
    <w:rsid w:val="00A3312E"/>
    <w:rsid w:val="00A35A8F"/>
    <w:rsid w:val="00A406F8"/>
    <w:rsid w:val="00A51C33"/>
    <w:rsid w:val="00A5480B"/>
    <w:rsid w:val="00A60AD2"/>
    <w:rsid w:val="00AA0609"/>
    <w:rsid w:val="00AA0DBB"/>
    <w:rsid w:val="00AA2AEB"/>
    <w:rsid w:val="00AB7010"/>
    <w:rsid w:val="00AD5BA1"/>
    <w:rsid w:val="00AD7E3C"/>
    <w:rsid w:val="00AE0C08"/>
    <w:rsid w:val="00B02126"/>
    <w:rsid w:val="00B37687"/>
    <w:rsid w:val="00B47603"/>
    <w:rsid w:val="00B54E3E"/>
    <w:rsid w:val="00B57B4E"/>
    <w:rsid w:val="00B6234F"/>
    <w:rsid w:val="00B7036A"/>
    <w:rsid w:val="00B741D7"/>
    <w:rsid w:val="00B86C86"/>
    <w:rsid w:val="00BC37A2"/>
    <w:rsid w:val="00BC5FE0"/>
    <w:rsid w:val="00BD1534"/>
    <w:rsid w:val="00BD68CB"/>
    <w:rsid w:val="00BE2A8C"/>
    <w:rsid w:val="00BE4AC5"/>
    <w:rsid w:val="00BE6617"/>
    <w:rsid w:val="00BF5B8E"/>
    <w:rsid w:val="00C037BD"/>
    <w:rsid w:val="00C135EF"/>
    <w:rsid w:val="00C21F97"/>
    <w:rsid w:val="00C308B0"/>
    <w:rsid w:val="00C54B66"/>
    <w:rsid w:val="00C550F4"/>
    <w:rsid w:val="00C610F9"/>
    <w:rsid w:val="00C71DB7"/>
    <w:rsid w:val="00C825AB"/>
    <w:rsid w:val="00C856DF"/>
    <w:rsid w:val="00C91682"/>
    <w:rsid w:val="00C96791"/>
    <w:rsid w:val="00CA1F62"/>
    <w:rsid w:val="00CA2A34"/>
    <w:rsid w:val="00CA5187"/>
    <w:rsid w:val="00CB65E0"/>
    <w:rsid w:val="00CC699C"/>
    <w:rsid w:val="00CD391B"/>
    <w:rsid w:val="00D10EC9"/>
    <w:rsid w:val="00D11A11"/>
    <w:rsid w:val="00D13F55"/>
    <w:rsid w:val="00D53ED2"/>
    <w:rsid w:val="00D55B3D"/>
    <w:rsid w:val="00D60355"/>
    <w:rsid w:val="00D64204"/>
    <w:rsid w:val="00D90E97"/>
    <w:rsid w:val="00DA43CB"/>
    <w:rsid w:val="00DD62DA"/>
    <w:rsid w:val="00DE36CA"/>
    <w:rsid w:val="00DE7F24"/>
    <w:rsid w:val="00DF1ECB"/>
    <w:rsid w:val="00DF5898"/>
    <w:rsid w:val="00E1598B"/>
    <w:rsid w:val="00E23098"/>
    <w:rsid w:val="00E27ABC"/>
    <w:rsid w:val="00E27F20"/>
    <w:rsid w:val="00E3455E"/>
    <w:rsid w:val="00E43B44"/>
    <w:rsid w:val="00E60478"/>
    <w:rsid w:val="00E732EC"/>
    <w:rsid w:val="00E76146"/>
    <w:rsid w:val="00E87430"/>
    <w:rsid w:val="00E96DC1"/>
    <w:rsid w:val="00EA6F33"/>
    <w:rsid w:val="00EB611E"/>
    <w:rsid w:val="00ED6D3C"/>
    <w:rsid w:val="00EE7CAA"/>
    <w:rsid w:val="00F13D42"/>
    <w:rsid w:val="00F2631E"/>
    <w:rsid w:val="00F54524"/>
    <w:rsid w:val="00F60E39"/>
    <w:rsid w:val="00F60E6D"/>
    <w:rsid w:val="00F65FB3"/>
    <w:rsid w:val="00F913E2"/>
    <w:rsid w:val="00FA273B"/>
    <w:rsid w:val="00FB4B98"/>
    <w:rsid w:val="00FB5E92"/>
    <w:rsid w:val="00FC247F"/>
    <w:rsid w:val="00FC324B"/>
    <w:rsid w:val="00FE5A41"/>
    <w:rsid w:val="00FF1E6C"/>
    <w:rsid w:val="06106648"/>
    <w:rsid w:val="277E199B"/>
    <w:rsid w:val="30000F04"/>
    <w:rsid w:val="32082A11"/>
    <w:rsid w:val="4BE57453"/>
    <w:rsid w:val="60E23743"/>
    <w:rsid w:val="6D9A3C8D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3">
    <w:name w:val="Body Text"/>
    <w:link w:val="15"/>
    <w:qFormat/>
    <w:uiPriority w:val="0"/>
    <w:pPr>
      <w:widowControl w:val="0"/>
      <w:shd w:val="clear" w:color="auto" w:fill="FFFFFF"/>
      <w:suppressAutoHyphens/>
    </w:pPr>
    <w:rPr>
      <w:rFonts w:ascii="Times New Roman" w:hAnsi="Times New Roman" w:eastAsia="新細明體" w:cs="Times New Roman"/>
      <w:kern w:val="2"/>
      <w:sz w:val="24"/>
      <w:szCs w:val="24"/>
      <w:lang w:val="en-US" w:eastAsia="zh-TW" w:bidi="ar-SA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5">
    <w:name w:val="Balloon Text"/>
    <w:basedOn w:val="1"/>
    <w:link w:val="12"/>
    <w:unhideWhenUsed/>
    <w:qFormat/>
    <w:uiPriority w:val="99"/>
    <w:rPr>
      <w:rFonts w:asciiTheme="majorHAnsi" w:hAnsiTheme="majorHAnsi" w:eastAsiaTheme="majorEastAsia" w:cstheme="majorBidi"/>
      <w:sz w:val="18"/>
      <w:szCs w:val="18"/>
    </w:rPr>
  </w:style>
  <w:style w:type="character" w:styleId="7">
    <w:name w:val="annotation reference"/>
    <w:basedOn w:val="6"/>
    <w:unhideWhenUsed/>
    <w:qFormat/>
    <w:uiPriority w:val="99"/>
    <w:rPr>
      <w:sz w:val="18"/>
      <w:szCs w:val="18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0">
    <w:name w:val="頁首 字元"/>
    <w:basedOn w:val="6"/>
    <w:link w:val="2"/>
    <w:qFormat/>
    <w:uiPriority w:val="99"/>
    <w:rPr>
      <w:sz w:val="20"/>
      <w:szCs w:val="20"/>
    </w:rPr>
  </w:style>
  <w:style w:type="character" w:customStyle="1" w:styleId="11">
    <w:name w:val="頁尾 字元"/>
    <w:basedOn w:val="6"/>
    <w:link w:val="4"/>
    <w:qFormat/>
    <w:uiPriority w:val="99"/>
    <w:rPr>
      <w:sz w:val="20"/>
      <w:szCs w:val="20"/>
    </w:rPr>
  </w:style>
  <w:style w:type="character" w:customStyle="1" w:styleId="12">
    <w:name w:val="註解方塊文字 字元"/>
    <w:basedOn w:val="6"/>
    <w:link w:val="5"/>
    <w:semiHidden/>
    <w:qFormat/>
    <w:uiPriority w:val="99"/>
    <w:rPr>
      <w:rFonts w:asciiTheme="majorHAnsi" w:hAnsiTheme="majorHAnsi" w:eastAsiaTheme="majorEastAsia" w:cstheme="majorBidi"/>
      <w:sz w:val="18"/>
      <w:szCs w:val="18"/>
    </w:rPr>
  </w:style>
  <w:style w:type="paragraph" w:customStyle="1" w:styleId="13">
    <w:name w:val="Default"/>
    <w:qFormat/>
    <w:uiPriority w:val="0"/>
    <w:pPr>
      <w:widowControl w:val="0"/>
      <w:autoSpaceDE w:val="0"/>
      <w:autoSpaceDN w:val="0"/>
      <w:adjustRightInd w:val="0"/>
    </w:pPr>
    <w:rPr>
      <w:rFonts w:ascii="標楷體" w:eastAsia="標楷體" w:cs="標楷體" w:hAnsiTheme="minorHAnsi"/>
      <w:color w:val="000000"/>
      <w:kern w:val="0"/>
      <w:sz w:val="24"/>
      <w:szCs w:val="24"/>
      <w:lang w:val="en-US" w:eastAsia="zh-TW" w:bidi="ar-SA"/>
    </w:rPr>
  </w:style>
  <w:style w:type="paragraph" w:customStyle="1" w:styleId="14">
    <w:name w:val="Table Paragraph"/>
    <w:basedOn w:val="1"/>
    <w:qFormat/>
    <w:uiPriority w:val="1"/>
    <w:pPr>
      <w:autoSpaceDE w:val="0"/>
      <w:autoSpaceDN w:val="0"/>
    </w:pPr>
    <w:rPr>
      <w:rFonts w:ascii="SimSun" w:hAnsi="SimSun" w:eastAsia="SimSun" w:cs="SimSun"/>
      <w:kern w:val="0"/>
      <w:sz w:val="22"/>
    </w:rPr>
  </w:style>
  <w:style w:type="character" w:customStyle="1" w:styleId="15">
    <w:name w:val="本文 字元"/>
    <w:basedOn w:val="6"/>
    <w:link w:val="3"/>
    <w:qFormat/>
    <w:uiPriority w:val="0"/>
    <w:rPr>
      <w:rFonts w:ascii="Times New Roman" w:hAnsi="Times New Roman" w:eastAsia="新細明體" w:cs="Times New Roman"/>
      <w:szCs w:val="24"/>
      <w:shd w:val="clear" w:color="auto" w:fill="FFFFFF"/>
    </w:rPr>
  </w:style>
  <w:style w:type="paragraph" w:customStyle="1" w:styleId="16">
    <w:name w:val="List Paragraph"/>
    <w:basedOn w:val="1"/>
    <w:qFormat/>
    <w:uiPriority w:val="99"/>
    <w:pPr>
      <w:ind w:left="480" w:leftChars="200"/>
    </w:pPr>
  </w:style>
  <w:style w:type="paragraph" w:customStyle="1" w:styleId="17">
    <w:name w:val="清單段落1"/>
    <w:basedOn w:val="1"/>
    <w:qFormat/>
    <w:uiPriority w:val="99"/>
    <w:pPr>
      <w:ind w:left="480" w:left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1299</Words>
  <Characters>7408</Characters>
  <Lines>61</Lines>
  <Paragraphs>17</Paragraphs>
  <ScaleCrop>false</ScaleCrop>
  <LinksUpToDate>false</LinksUpToDate>
  <CharactersWithSpaces>8690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2025-05-26T01:55:00Z</dcterms:created>
  <dc:creator>user</dc:creator>
  <cp:lastModifiedBy>USER</cp:lastModifiedBy>
  <cp:lastPrinted>2025-10-29T15:05:00Z</cp:lastPrinted>
  <dcterms:modified xsi:type="dcterms:W3CDTF">2026-05-21T02:34:26Z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