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84912" w:rsidRDefault="00784912">
      <w:pPr>
        <w:spacing w:after="0"/>
        <w:jc w:val="center"/>
      </w:pPr>
      <w:bookmarkStart w:id="0" w:name="_GoBack"/>
      <w:bookmarkEnd w:id="0"/>
    </w:p>
    <w:p w:rsidR="00784912" w:rsidRDefault="002C185C">
      <w:pPr>
        <w:spacing w:after="0"/>
        <w:jc w:val="center"/>
      </w:pPr>
      <w:r>
        <w:rPr>
          <w:sz w:val="72"/>
        </w:rPr>
        <w:t>國防醫學大學三軍總醫院</w:t>
      </w: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2C185C">
      <w:pPr>
        <w:spacing w:after="0"/>
        <w:jc w:val="center"/>
      </w:pPr>
      <w:r>
        <w:rPr>
          <w:sz w:val="56"/>
        </w:rPr>
        <w:t>國軍醫院設立捐血站裝備整備案</w:t>
      </w:r>
    </w:p>
    <w:p w:rsidR="00784912" w:rsidRDefault="002C185C">
      <w:pPr>
        <w:spacing w:after="0"/>
        <w:jc w:val="center"/>
      </w:pPr>
      <w:r>
        <w:rPr>
          <w:sz w:val="56"/>
        </w:rPr>
        <w:t>測試報告</w:t>
      </w: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2C185C">
      <w:pPr>
        <w:spacing w:after="0"/>
        <w:jc w:val="center"/>
      </w:pPr>
      <w:r>
        <w:rPr>
          <w:sz w:val="56"/>
        </w:rPr>
        <w:t>教育訓練文件管理模組</w:t>
      </w: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p w:rsidR="00784912" w:rsidRDefault="00784912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784912">
        <w:trPr>
          <w:jc w:val="center"/>
        </w:trPr>
        <w:tc>
          <w:tcPr>
            <w:tcW w:w="2160" w:type="dxa"/>
          </w:tcPr>
          <w:p w:rsidR="00784912" w:rsidRDefault="002C185C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784912" w:rsidRDefault="002C185C">
            <w:pPr>
              <w:spacing w:before="60" w:after="60"/>
            </w:pPr>
            <w:r>
              <w:t>1.0</w:t>
            </w:r>
          </w:p>
        </w:tc>
      </w:tr>
      <w:tr w:rsidR="00784912">
        <w:trPr>
          <w:jc w:val="center"/>
        </w:trPr>
        <w:tc>
          <w:tcPr>
            <w:tcW w:w="2160" w:type="dxa"/>
          </w:tcPr>
          <w:p w:rsidR="00784912" w:rsidRDefault="002C185C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784912" w:rsidRDefault="002C185C">
            <w:pPr>
              <w:spacing w:before="60" w:after="60"/>
            </w:pPr>
            <w:r>
              <w:t>2026/10/21</w:t>
            </w:r>
          </w:p>
        </w:tc>
      </w:tr>
      <w:tr w:rsidR="00784912">
        <w:trPr>
          <w:jc w:val="center"/>
        </w:trPr>
        <w:tc>
          <w:tcPr>
            <w:tcW w:w="2160" w:type="dxa"/>
          </w:tcPr>
          <w:p w:rsidR="00784912" w:rsidRDefault="002C185C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784912" w:rsidRDefault="00784912">
            <w:pPr>
              <w:spacing w:before="60" w:after="60"/>
            </w:pPr>
          </w:p>
        </w:tc>
      </w:tr>
      <w:tr w:rsidR="00784912">
        <w:trPr>
          <w:jc w:val="center"/>
        </w:trPr>
        <w:tc>
          <w:tcPr>
            <w:tcW w:w="2160" w:type="dxa"/>
          </w:tcPr>
          <w:p w:rsidR="00784912" w:rsidRDefault="002C185C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784912" w:rsidRDefault="002C185C">
            <w:pPr>
              <w:spacing w:before="60" w:after="60"/>
            </w:pPr>
            <w:r>
              <w:t>朱可棠</w:t>
            </w:r>
          </w:p>
        </w:tc>
      </w:tr>
    </w:tbl>
    <w:p w:rsidR="00784912" w:rsidRDefault="002C185C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784912">
        <w:tc>
          <w:tcPr>
            <w:tcW w:w="1151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784912">
        <w:tc>
          <w:tcPr>
            <w:tcW w:w="1151" w:type="dxa"/>
          </w:tcPr>
          <w:p w:rsidR="00784912" w:rsidRDefault="002C185C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784912" w:rsidRDefault="002C185C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784912" w:rsidRDefault="002C185C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784912" w:rsidRDefault="002C185C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784912" w:rsidRDefault="002C185C">
      <w:pPr>
        <w:pStyle w:val="Heading1NoTOC"/>
      </w:pPr>
      <w:r>
        <w:lastRenderedPageBreak/>
        <w:t>目錄</w:t>
      </w:r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91296" w:history="1">
        <w:r w:rsidRPr="002C1226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1297" w:history="1">
        <w:r w:rsidRPr="002C1226">
          <w:rPr>
            <w:rStyle w:val="affb"/>
            <w:noProof/>
          </w:rPr>
          <w:t xml:space="preserve">ET01 </w:t>
        </w:r>
        <w:r w:rsidRPr="002C1226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1298" w:history="1">
        <w:r w:rsidRPr="002C1226">
          <w:rPr>
            <w:rStyle w:val="affb"/>
            <w:noProof/>
          </w:rPr>
          <w:t xml:space="preserve">ET02 </w:t>
        </w:r>
        <w:r w:rsidRPr="002C1226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1299" w:history="1">
        <w:r w:rsidRPr="002C1226">
          <w:rPr>
            <w:rStyle w:val="affb"/>
            <w:noProof/>
          </w:rPr>
          <w:t xml:space="preserve">ET03 </w:t>
        </w:r>
        <w:r w:rsidRPr="002C1226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1300" w:history="1">
        <w:r w:rsidRPr="002C1226">
          <w:rPr>
            <w:rStyle w:val="affb"/>
            <w:noProof/>
          </w:rPr>
          <w:t xml:space="preserve">ET04 </w:t>
        </w:r>
        <w:r w:rsidRPr="002C1226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1301" w:history="1">
        <w:r w:rsidRPr="002C1226">
          <w:rPr>
            <w:rStyle w:val="affb"/>
            <w:noProof/>
          </w:rPr>
          <w:t xml:space="preserve">ET05 </w:t>
        </w:r>
        <w:r w:rsidRPr="002C1226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1302" w:history="1">
        <w:r w:rsidRPr="002C1226">
          <w:rPr>
            <w:rStyle w:val="affb"/>
            <w:noProof/>
          </w:rPr>
          <w:t xml:space="preserve">ET06 </w:t>
        </w:r>
        <w:r w:rsidRPr="002C1226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C185C" w:rsidRDefault="002C185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1303" w:history="1">
        <w:r w:rsidRPr="002C1226">
          <w:rPr>
            <w:rStyle w:val="affb"/>
            <w:noProof/>
          </w:rPr>
          <w:t xml:space="preserve">ET07 </w:t>
        </w:r>
        <w:r w:rsidRPr="002C1226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_Toc243491303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84912" w:rsidRDefault="002C185C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784912" w:rsidRDefault="002C185C">
      <w:pPr>
        <w:pStyle w:val="1"/>
      </w:pPr>
      <w:bookmarkStart w:id="1" w:name="_Toc243491296"/>
      <w:r>
        <w:lastRenderedPageBreak/>
        <w:t>測試注意事項</w:t>
      </w:r>
      <w:bookmarkEnd w:id="1"/>
    </w:p>
    <w:p w:rsidR="00784912" w:rsidRDefault="002C185C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784912" w:rsidRDefault="002C185C">
      <w:pPr>
        <w:pStyle w:val="1"/>
      </w:pPr>
      <w:bookmarkStart w:id="2" w:name="_Toc243491297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84912">
        <w:trPr>
          <w:jc w:val="center"/>
        </w:trPr>
        <w:tc>
          <w:tcPr>
            <w:tcW w:w="9638" w:type="dxa"/>
            <w:gridSpan w:val="4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78491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84912">
        <w:trPr>
          <w:tblHeader/>
          <w:jc w:val="center"/>
        </w:trPr>
        <w:tc>
          <w:tcPr>
            <w:tcW w:w="907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84912">
        <w:trPr>
          <w:tblHeader/>
          <w:jc w:val="center"/>
        </w:trPr>
        <w:tc>
          <w:tcPr>
            <w:tcW w:w="907" w:type="dxa"/>
            <w:vMerge/>
          </w:tcPr>
          <w:p w:rsidR="00784912" w:rsidRDefault="00784912"/>
        </w:tc>
        <w:tc>
          <w:tcPr>
            <w:tcW w:w="6236" w:type="dxa"/>
            <w:vMerge/>
          </w:tcPr>
          <w:p w:rsidR="00784912" w:rsidRDefault="00784912"/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於「全部課程」以「關鍵字」「建立者」「單位」「職位」任一條件或組合查詢，清單應只列出符合條件的課程。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2C185C">
      <w:pPr>
        <w:pStyle w:val="1"/>
      </w:pPr>
      <w:bookmarkStart w:id="3" w:name="_Toc243491298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84912">
        <w:trPr>
          <w:jc w:val="center"/>
        </w:trPr>
        <w:tc>
          <w:tcPr>
            <w:tcW w:w="9638" w:type="dxa"/>
            <w:gridSpan w:val="4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78491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84912">
        <w:trPr>
          <w:tblHeader/>
          <w:jc w:val="center"/>
        </w:trPr>
        <w:tc>
          <w:tcPr>
            <w:tcW w:w="907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84912">
        <w:trPr>
          <w:tblHeader/>
          <w:jc w:val="center"/>
        </w:trPr>
        <w:tc>
          <w:tcPr>
            <w:tcW w:w="907" w:type="dxa"/>
            <w:vMerge/>
          </w:tcPr>
          <w:p w:rsidR="00784912" w:rsidRDefault="00784912"/>
        </w:tc>
        <w:tc>
          <w:tcPr>
            <w:tcW w:w="6236" w:type="dxa"/>
            <w:vMerge/>
          </w:tcPr>
          <w:p w:rsidR="00784912" w:rsidRDefault="00784912"/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以教師甲進入「學員學習表現」，「課程」下拉應只列出教師甲建立的已發布與已關閉課程，不含教師甲的草稿課程與教師乙的課程。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選擇教師甲一門已發布、已開啟「本課程需線下核可」、設有課後問卷，並含「測驗一」（可作答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次）與「測驗二」的課程（以下稱受測課程），學員甲、乙、丙已加入但尚未開始學習時，三人皆應為「未開始」、進度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選擇教師甲另一門未開啟線下核可、未建立課後問卷的已發布課程，清單應無「核可狀態」「核可」欄、勾選框與批次按鈕，且不顯示「問卷結果」區塊；按「匯出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完成受測課程的第一份教材後，重新進入本作業選擇受測課程，學員甲的學習進度應增加。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</w:t>
            </w:r>
            <w:r>
              <w:rPr>
                <w:rFonts w:ascii="標楷體" w:hAnsi="標楷體"/>
                <w:sz w:val="22"/>
              </w:rPr>
              <w:t>作答當時的樣子。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學員甲、乙學完受測課程全部內容（含「測驗二」），且學員甲填寫課後問卷（問答題填文字）後，按「已加入學員」區塊的「匯出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</w:t>
            </w:r>
            <w:r>
              <w:rPr>
                <w:rFonts w:ascii="標楷體" w:hAnsi="標楷體"/>
                <w:sz w:val="22"/>
              </w:rPr>
              <w:t>時間；學員甲應收到核可通過通知信。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新增一份教材並按「更新」後回本頁，學員甲、乙應顯示「進行中」、學習進度隨項目總數增加而下降，學員甲核可狀態為「未達核可資格」；學員甲補完該教材後，離開本作業再重新進入並選擇受測課程，學員甲應自動回到「已完成」「已通過」，不需重新核可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</w:t>
            </w:r>
            <w:r>
              <w:rPr>
                <w:rFonts w:ascii="標楷體" w:hAnsi="標楷體"/>
                <w:sz w:val="22"/>
              </w:rPr>
              <w:t>可按；作答明細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？學習歷史完整保留。」；確定後學員丙自三區塊消失、問卷未填人數減少；以學員丙登入，「我的課程」不再顯示受測課程，輸入受測課程的邀請碼應被擋下並提示已被移除；於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</w:t>
            </w:r>
            <w:r>
              <w:rPr>
                <w:rFonts w:ascii="標楷體" w:hAnsi="標楷體"/>
                <w:sz w:val="22"/>
              </w:rPr>
              <w:t>新為重新邀請的時點，原學習進度與成績接續保留。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關閉受測課程後回本頁選擇受測課程，應顯示唯讀提示；三區塊照常顯示，「移除」「重置重考次數」皆呈灰色，「匯出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等於當時的學員人數。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2C185C">
      <w:pPr>
        <w:pStyle w:val="1"/>
      </w:pPr>
      <w:bookmarkStart w:id="4" w:name="_Toc243491299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84912">
        <w:trPr>
          <w:jc w:val="center"/>
        </w:trPr>
        <w:tc>
          <w:tcPr>
            <w:tcW w:w="9638" w:type="dxa"/>
            <w:gridSpan w:val="4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78491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84912">
        <w:trPr>
          <w:tblHeader/>
          <w:jc w:val="center"/>
        </w:trPr>
        <w:tc>
          <w:tcPr>
            <w:tcW w:w="907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84912">
        <w:trPr>
          <w:tblHeader/>
          <w:jc w:val="center"/>
        </w:trPr>
        <w:tc>
          <w:tcPr>
            <w:tcW w:w="907" w:type="dxa"/>
            <w:vMerge/>
          </w:tcPr>
          <w:p w:rsidR="00784912" w:rsidRDefault="00784912"/>
        </w:tc>
        <w:tc>
          <w:tcPr>
            <w:tcW w:w="6236" w:type="dxa"/>
            <w:vMerge/>
          </w:tcPr>
          <w:p w:rsidR="00784912" w:rsidRDefault="00784912"/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放」即本頁的「尚未開放」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起始時間設在稍後（尚未開放）的已加入課程，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已完成部分項目的課程，卡片的「完成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全部教材與測驗數；於該課程再完成一項後回到本頁，比例應隨之增加。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已完成全部教材與測驗但未填課後問卷的課程，卡片應標「已完成」並計入「已完成」；教師於該課程新增一份教材並按「更新」後，該課程應改標「進行中」，統計同步由已</w:t>
            </w:r>
            <w:r>
              <w:rPr>
                <w:rFonts w:ascii="標楷體" w:hAnsi="標楷體"/>
                <w:sz w:val="22"/>
              </w:rPr>
              <w:t>完成移至進行中。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由教師關閉、含測驗的已加入課程（以下稱已關閉課程），卡片應標「已關閉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點一門尚未開始的已加入課程卡片，應進入該課程的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取得一門學員甲、乙皆未加入的已發布課程（以下稱可加入課程）的邀請碼，以學員乙按「加入新課程」輸入該邀請碼按「查詢」，應顯示課程名稱、教師與章節數；此時按「上一步」再按「取消」關閉視窗，可加入課程不應出現在清單上。</w:t>
            </w:r>
            <w:r>
              <w:rPr>
                <w:rFonts w:ascii="標楷體" w:hAnsi="標楷體"/>
                <w:sz w:val="22"/>
              </w:rPr>
              <w:lastRenderedPageBreak/>
              <w:t>再次查詢後按「確認加入」，應顯示「已加入課程」並進入可加入課程的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；回到本頁可加入課程列於清單，「已加入課程」加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時已開啟第一份教材，可加入課程計入「進行中」）。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以學員乙輸入一門起始時間在未來、尚未加入之課程的邀請碼查詢，應提示開放時點；按「確認加入」後應顯示</w:t>
            </w:r>
            <w:r>
              <w:rPr>
                <w:rFonts w:ascii="標楷體" w:hAnsi="標楷體"/>
                <w:sz w:val="22"/>
              </w:rPr>
              <w:t>「已加入，課程開放後即可開始學習」並留在本頁，該課程的卡片標「尚未開放」。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學員乙再次輸入已加入之可加入課程的邀請碼按「查詢」，應直接進入可加入課程的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以學員甲開啟可加入課程的邀請連結並登入，應進入本頁並自動開啟「加入新課程」視窗並填好邀請碼，在按「查詢」與「確認加入」前不應已加入。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以學員乙輸入已關閉課程的邀請碼，應擋下並顯示「此課程目前關閉中」；教師於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開啟該課程按「更新並重開課」後，學員乙以同一組邀請碼應可加入。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2C185C">
      <w:pPr>
        <w:pStyle w:val="1"/>
      </w:pPr>
      <w:bookmarkStart w:id="5" w:name="_Toc243491300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84912">
        <w:trPr>
          <w:jc w:val="center"/>
        </w:trPr>
        <w:tc>
          <w:tcPr>
            <w:tcW w:w="9638" w:type="dxa"/>
            <w:gridSpan w:val="4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78491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84912">
        <w:trPr>
          <w:tblHeader/>
          <w:jc w:val="center"/>
        </w:trPr>
        <w:tc>
          <w:tcPr>
            <w:tcW w:w="907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84912">
        <w:trPr>
          <w:tblHeader/>
          <w:jc w:val="center"/>
        </w:trPr>
        <w:tc>
          <w:tcPr>
            <w:tcW w:w="907" w:type="dxa"/>
            <w:vMerge/>
          </w:tcPr>
          <w:p w:rsidR="00784912" w:rsidRDefault="00784912"/>
        </w:tc>
        <w:tc>
          <w:tcPr>
            <w:tcW w:w="6236" w:type="dxa"/>
            <w:vMerge/>
          </w:tcPr>
          <w:p w:rsidR="00784912" w:rsidRDefault="00784912"/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以教師甲進入「核可查詢」，不輸入任何條件，應即列出全部紀錄，含教師甲開設、需線下核可之課程（以下稱課程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）中學員甲的通過、學員乙的不通過與學員丙的已撤銷紀錄，以及教師乙開設、不需線下核可之課程（以下稱課程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）中學員甲的通過紀錄。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「核可結果」選「僅通過」，應不含學員丙已撤銷的通過；選「僅已撤銷」，學員丙的紀錄應顯示「已撤銷（原通過）」並列出撤銷人與撤銷時間。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</w:t>
            </w:r>
            <w:r>
              <w:rPr>
                <w:rFonts w:ascii="標楷體" w:hAnsi="標楷體"/>
                <w:sz w:val="22"/>
              </w:rPr>
              <w:lastRenderedPageBreak/>
              <w:t>「通過」、狀態「有效」，原撤銷資訊不再顯示；學員丙應收到核可通過通知信。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2C185C">
      <w:pPr>
        <w:pStyle w:val="1"/>
      </w:pPr>
      <w:bookmarkStart w:id="6" w:name="_Toc243491301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84912">
        <w:trPr>
          <w:jc w:val="center"/>
        </w:trPr>
        <w:tc>
          <w:tcPr>
            <w:tcW w:w="9638" w:type="dxa"/>
            <w:gridSpan w:val="4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78491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84912">
        <w:trPr>
          <w:tblHeader/>
          <w:jc w:val="center"/>
        </w:trPr>
        <w:tc>
          <w:tcPr>
            <w:tcW w:w="907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84912">
        <w:trPr>
          <w:tblHeader/>
          <w:jc w:val="center"/>
        </w:trPr>
        <w:tc>
          <w:tcPr>
            <w:tcW w:w="907" w:type="dxa"/>
            <w:vMerge/>
          </w:tcPr>
          <w:p w:rsidR="00784912" w:rsidRDefault="00784912"/>
        </w:tc>
        <w:tc>
          <w:tcPr>
            <w:tcW w:w="6236" w:type="dxa"/>
            <w:vMerge/>
          </w:tcPr>
          <w:p w:rsidR="00784912" w:rsidRDefault="00784912"/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；填說明文字並上傳影片後按「儲存」，應顯示「教材已儲存」，重新開啟該教材，說明文字與影片皆在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</w:t>
            </w:r>
            <w:r>
              <w:rPr>
                <w:rFonts w:ascii="標楷體" w:hAnsi="標楷體"/>
                <w:sz w:val="22"/>
              </w:rPr>
              <w:t>訓對象下方顯示紅字提示，補填後隨即消失；按「儲存草稿」保存。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新增章節與教材，教材只引用文件管理「訓練教材」分類中一份已發布、可廢止的文件（以下稱文件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按「儲存並發布」應被擋下並提示「請先移除已廢止文件之引用」。此引用請保留到第</w:t>
            </w:r>
            <w:r>
              <w:rPr>
                <w:rFonts w:ascii="標楷體" w:hAnsi="標楷體"/>
                <w:sz w:val="22"/>
              </w:rPr>
              <w:t xml:space="preserve"> 27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；於「題庫管理」新增兩題，各按該題的「儲存題目」後，直接按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</w:t>
            </w:r>
            <w:r>
              <w:rPr>
                <w:rFonts w:ascii="標楷體" w:hAnsi="標楷體"/>
                <w:sz w:val="22"/>
              </w:rPr>
              <w:t>不加題目即關閉），按「儲存並發布」，視窗應一併列出章節沒有內容、測驗配分不符、問卷沒有題目；關閉視窗後該章節、該測驗與問卷卡片以紅框標示。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提供「編輯」與刪除鈕，沒有「停用問卷」。於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後按「儲存並發布」並「確認發布」，課程狀態應轉為「已發布」，並顯示依受訓對象帶入的學員人數與</w:t>
            </w:r>
            <w:r>
              <w:rPr>
                <w:rFonts w:ascii="標楷體" w:hAnsi="標楷體"/>
                <w:sz w:val="22"/>
              </w:rPr>
              <w:t>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再進入，上方顯示的邀請碼應與發布時同一組，「邀請學員」的「邀請碼」分頁亦為同一組，畫面不提供重新產生。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；改課程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既有的受訓對象應鎖定（兩欄停用、無刪除鈕），只能新增新的組別；新增一組與學員丙相符的受訓對象並按「</w:t>
            </w:r>
            <w:r>
              <w:rPr>
                <w:rFonts w:ascii="標楷體" w:hAnsi="標楷體"/>
                <w:sz w:val="22"/>
              </w:rPr>
              <w:t>更新」，學員丙應被加入並收到一封通知信，學員甲不重複收信；按「更新」之前不應有人收到信。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</w:t>
            </w:r>
            <w:r>
              <w:rPr>
                <w:rFonts w:ascii="標楷體" w:hAnsi="標楷體"/>
                <w:sz w:val="22"/>
              </w:rPr>
              <w:lastRenderedPageBreak/>
              <w:t>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</w:t>
            </w:r>
            <w:r>
              <w:rPr>
                <w:rFonts w:ascii="標楷體" w:hAnsi="標楷體"/>
                <w:sz w:val="22"/>
              </w:rPr>
              <w:t xml:space="preserve">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（重測視窗同樣選「僅儲存，不要求重測」）後按「更新」，該題不再出現於之後的作答，學員甲、乙的作答紀錄與成績完整保留、仍可回看。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對該測驗新增一題並儲存，應跳出「是否要求學員重新測驗？」並顯示已作答人數（含未及格者），視窗說明重測於按「更新」時才執行；選「儲存並要求重測」後學員此刻不應有任何變化；再調整配分使總和為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</w:t>
            </w:r>
            <w:r>
              <w:rPr>
                <w:rFonts w:ascii="標楷體" w:hAnsi="標楷體"/>
                <w:sz w:val="22"/>
              </w:rPr>
              <w:t>新計算；尚未作答的學員丙不受影響、不收到通知信。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；按「更新」應先跳出「更新課程內容」確認視窗，按「確認更新」後顯示「課程內容已更新，學員已可看到」，學員端隨即看到該章節、所有已加入的學員收到通知信，學員甲的完課狀態回退為「進行中」且已填的課後問卷不需重填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的教材引用「訓練教材」分類中另一份已發布文件（以下稱文件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）並按「儲存」，按「更新」並「確認更新」</w:t>
            </w:r>
            <w:r>
              <w:rPr>
                <w:rFonts w:ascii="標楷體" w:hAnsi="標楷體"/>
                <w:sz w:val="22"/>
              </w:rPr>
              <w:lastRenderedPageBreak/>
              <w:t>後，學員於該章節應可開啟此文件。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</w:t>
            </w:r>
            <w:r>
              <w:rPr>
                <w:rFonts w:ascii="標楷體" w:hAnsi="標楷體"/>
                <w:sz w:val="22"/>
              </w:rPr>
              <w:t>輯」留在編輯頁且章節仍在；改點側邊選單其他項目，應跳出「離開將放棄本次的編輯」，按「放棄並離開」後重新進入，該章節已不在，學員端維持原狀。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新增一個章節與一份教材後按「保留編輯」，應顯示「編輯已保留，學員看到的仍是關閉前的內容」並回到課程列表，重新進入該章節仍在，學員回看的仍是關閉前的內容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</w:t>
            </w:r>
            <w:r>
              <w:rPr>
                <w:rFonts w:ascii="標楷體" w:hAnsi="標楷體"/>
                <w:sz w:val="22"/>
              </w:rPr>
              <w:t>半已在課程中。原有學員可直接繼續學習。」；按「關閉」回到課程列表，課程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25 </w:t>
            </w:r>
            <w:r>
              <w:rPr>
                <w:rFonts w:ascii="標楷體" w:hAnsi="標楷體"/>
                <w:sz w:val="22"/>
              </w:rPr>
              <w:t>項新增的章節，成績接續保留（完課率依新的項目數重算），原邀請碼恢復有效。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6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移除該引用、補上說明文字並儲存，再將受訓對象改為沒有任何學員相符的組合後按「儲存並發布」並「確認發布」，應顯示課程已發布但無學員符合受訓對象的警告，並提示可改用邀請碼。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21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2C185C">
      <w:pPr>
        <w:pStyle w:val="1"/>
      </w:pPr>
      <w:bookmarkStart w:id="7" w:name="_Toc243491302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84912">
        <w:trPr>
          <w:jc w:val="center"/>
        </w:trPr>
        <w:tc>
          <w:tcPr>
            <w:tcW w:w="9638" w:type="dxa"/>
            <w:gridSpan w:val="4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78491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84912">
        <w:trPr>
          <w:tblHeader/>
          <w:jc w:val="center"/>
        </w:trPr>
        <w:tc>
          <w:tcPr>
            <w:tcW w:w="907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84912">
        <w:trPr>
          <w:tblHeader/>
          <w:jc w:val="center"/>
        </w:trPr>
        <w:tc>
          <w:tcPr>
            <w:tcW w:w="907" w:type="dxa"/>
            <w:vMerge/>
          </w:tcPr>
          <w:p w:rsidR="00784912" w:rsidRDefault="00784912"/>
        </w:tc>
        <w:tc>
          <w:tcPr>
            <w:tcW w:w="6236" w:type="dxa"/>
            <w:vMerge/>
          </w:tcPr>
          <w:p w:rsidR="00784912" w:rsidRDefault="00784912"/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學員甲第一次點受測課程（第一章依序為含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支影片、含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支影片、只有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文件、只引用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文件的教材與一份測驗，第二章為只有說明文字的教材，並設有課後問卷）的卡片，應落在第一章的第一個項目，左側「課程進度」為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全部項目數；第一個項目尚未完成時點第二個項目，應提示「請先完成「（第一個項目名稱）」後解鎖」，內容區不切換；此時左側最下方不出現問卷入口。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</w:t>
            </w:r>
            <w:r>
              <w:rPr>
                <w:rFonts w:ascii="標楷體" w:hAnsi="標楷體"/>
                <w:sz w:val="22"/>
              </w:rPr>
              <w:t>示「已完成」，下一個項目不需重新整理即開放。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學員甲完成全部項目後（第二章只有說明文字的教材點開即完成），課程進度應為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</w:t>
            </w:r>
            <w:r>
              <w:rPr>
                <w:rFonts w:ascii="標楷體" w:hAnsi="標楷體"/>
                <w:sz w:val="22"/>
              </w:rPr>
              <w:lastRenderedPageBreak/>
              <w:t>成」，左側最下方出現「填寫課後問卷」。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，「我的課程」狀態回到「進行中」，左側仍為「查看我的填答」且可回看；學員丙的問卷入口</w:t>
            </w:r>
            <w:r>
              <w:rPr>
                <w:rFonts w:ascii="標楷體" w:hAnsi="標楷體"/>
                <w:sz w:val="22"/>
              </w:rPr>
              <w:t>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後，學員丁進入應顯示「此課程目前關閉中，僅可回看已學內容」，已開放的項目可開啟、影片可播放但不再顯示觀看進度，尚未開放的項目仍為鎖定；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教師甲開啟已關閉的受測課程，按底部「更新並重開課」並於視窗按「關閉」後，學員丁的學習進度應接續保留並可繼續學習，學員丙可填寫並送出課後問卷。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2C185C">
      <w:pPr>
        <w:pStyle w:val="1"/>
      </w:pPr>
      <w:bookmarkStart w:id="8" w:name="_Toc243491303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784912">
        <w:trPr>
          <w:jc w:val="center"/>
        </w:trPr>
        <w:tc>
          <w:tcPr>
            <w:tcW w:w="9638" w:type="dxa"/>
            <w:gridSpan w:val="4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</w:t>
            </w:r>
            <w:r>
              <w:rPr>
                <w:rFonts w:ascii="標楷體" w:hAnsi="標楷體"/>
                <w:b/>
                <w:spacing w:val="80"/>
                <w:sz w:val="32"/>
              </w:rPr>
              <w:t>學三軍總醫院測試報告</w:t>
            </w: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1474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784912" w:rsidRDefault="00784912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784912">
        <w:trPr>
          <w:tblHeader/>
          <w:jc w:val="center"/>
        </w:trPr>
        <w:tc>
          <w:tcPr>
            <w:tcW w:w="907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784912">
        <w:trPr>
          <w:tblHeader/>
          <w:jc w:val="center"/>
        </w:trPr>
        <w:tc>
          <w:tcPr>
            <w:tcW w:w="907" w:type="dxa"/>
            <w:vMerge/>
          </w:tcPr>
          <w:p w:rsidR="00784912" w:rsidRDefault="00784912"/>
        </w:tc>
        <w:tc>
          <w:tcPr>
            <w:tcW w:w="6236" w:type="dxa"/>
            <w:vMerge/>
          </w:tcPr>
          <w:p w:rsidR="00784912" w:rsidRDefault="00784912"/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學員甲於受測課程的學習頁點測驗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（限時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分鐘、及格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題中含一題配分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個選項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個正確的多選題），內容區應直接顯示題數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次，不另開新畫面；按「開始作答」進入作答畫面後，點左側選單「我的課程」並於確認視窗按「提交並離開」，再回到測驗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學員甲開啟另一門課程中不限時、只能作答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</w:t>
            </w:r>
            <w:r>
              <w:rPr>
                <w:rFonts w:ascii="標楷體" w:hAnsi="標楷體"/>
                <w:sz w:val="22"/>
              </w:rPr>
              <w:t>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</w:t>
            </w:r>
            <w:r>
              <w:rPr>
                <w:rFonts w:ascii="標楷體" w:hAnsi="標楷體"/>
                <w:sz w:val="22"/>
              </w:rPr>
              <w:t>，再按「下一題」切到第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題（不作答），等倒數歸零，系統應自動提交，結果頁顯示「作答時間到，已自動提交」，第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題完全不作答，最後一題選好答案後不切換題目直接按「提交」，應立即交卷（不另跳確認視窗），最後一題的作答</w:t>
            </w:r>
            <w:r>
              <w:rPr>
                <w:rFonts w:ascii="標楷體" w:hAnsi="標楷體"/>
                <w:sz w:val="22"/>
              </w:rPr>
              <w:lastRenderedPageBreak/>
              <w:t>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分以上，結果頁應顯示合格，該測驗項目標示完成，下一章的第一個項目隨即可點開（只點開第一份教材，第二份留待第</w:t>
            </w:r>
            <w:r>
              <w:rPr>
                <w:rFonts w:ascii="標楷體" w:hAnsi="標楷體"/>
                <w:sz w:val="22"/>
              </w:rPr>
              <w:t xml:space="preserve"> 14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學員乙於一份可作答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次的測驗（以</w:t>
            </w:r>
            <w:r>
              <w:rPr>
                <w:rFonts w:ascii="標楷體" w:hAnsi="標楷體"/>
                <w:sz w:val="22"/>
              </w:rPr>
              <w:t>下稱測驗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）用完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次且未及格後，應顯示「重考次數已用完，請聯繫教師重置」、「開始作答」不可按，歷次作答紀錄仍可點閱；教師甲於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所屬的課程，於「作答明細」展開學員乙，按測驗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</w:t>
            </w:r>
            <w:r>
              <w:rPr>
                <w:rFonts w:ascii="標楷體" w:hAnsi="標楷體"/>
                <w:sz w:val="22"/>
              </w:rPr>
              <w:t>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；歷次作答紀錄末尾出現一列「教師要求重測（測驗內容已更新）」與日期，先前的作答以灰色顯示並標「前一輪」、仍可點開；學員甲重新作答一</w:t>
            </w:r>
            <w:r>
              <w:rPr>
                <w:rFonts w:ascii="標楷體" w:hAnsi="標楷體"/>
                <w:sz w:val="22"/>
              </w:rPr>
              <w:lastRenderedPageBreak/>
              <w:t>次並得低於先前最高分的成績，最高分應為這次的成績。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  <w:tr w:rsidR="00784912">
        <w:trPr>
          <w:jc w:val="center"/>
        </w:trPr>
        <w:tc>
          <w:tcPr>
            <w:tcW w:w="907" w:type="dxa"/>
          </w:tcPr>
          <w:p w:rsidR="00784912" w:rsidRDefault="002C185C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784912" w:rsidRDefault="002C185C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</w:t>
            </w:r>
            <w:r>
              <w:rPr>
                <w:rFonts w:ascii="標楷體" w:hAnsi="標楷體"/>
                <w:sz w:val="22"/>
              </w:rPr>
              <w:t>答紀錄。</w:t>
            </w: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784912" w:rsidRDefault="00784912">
            <w:pPr>
              <w:spacing w:before="60" w:after="60"/>
              <w:jc w:val="center"/>
            </w:pPr>
          </w:p>
        </w:tc>
      </w:tr>
    </w:tbl>
    <w:p w:rsidR="00000000" w:rsidRDefault="002C185C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2C185C">
      <w:rPr>
        <w:noProof/>
        <w:sz w:val="20"/>
      </w:rPr>
      <w:t>18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36191A3E"/>
    <w:multiLevelType w:val="multilevel"/>
    <w:tmpl w:val="EB0A87C2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185C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784912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C1B146F-9F4D-4545-9E3A-139AE17C9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21</Pages>
  <Words>2041</Words>
  <Characters>11635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2026-10-21T08:08:00Z</dcterms:modified>
  <cp:category/>
</cp:coreProperties>
</file>