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2026/10/17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2026/10/17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 Email，信中含文件名稱與停留天數。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按「核准並發布」，於確認視窗按「確認核准」，應顯示「已核准並發布」，該項目移至「已完成」，文件 P 出現於文件庫，編輯者甲之個人專區「我的文件動態」應出現該文件的「核准發布」列。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Email），該列「退回原因」欄顯示剛才填寫的退回原因全文。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應仍為已發布並照常列於文件庫；編輯者甲之「我的文件動態」該筆「已退回」列的「退回原因」欄應顯示所填原因。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切換至「已完成」，應列出本人核准與退回之項目、結果與送審者；文件 Q 之退回列「退回原因」欄應為所填原因，文件 P 之核准列為「—」；於「搜尋文件名稱」輸入文件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以審核者甲進入個人專區，應只有「我的文件動態」一個分頁，不出現「草稿匣」。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I 之草稿，「繼續編輯」應無法按，滑鼠移上顯示正在廢止簽核中、待簽核結果出爐後再處理（與第 12 項為不同句），該列「刪除」仍可操作；審核者退回該廢止申請後，「繼續編輯」應恢復可按。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按「廢止此文件」，「指定審核者」清單應只列具審核者角色者，且不含申請者本人。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W 申請廢止時附加一個 PDF 作為廢止附件，核准後由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W，其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以閱覽者甲開啟文件 W 的詳細頁網址，應看得到紅色橫幅與廢止時間、申請人、核准者、廢止原因，但不應出現「下載廢止附件」（與第 12 項對照）。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按「新增文件」，填妥文件名稱、分類、一組可見對象、首版版本號、首版摘要，上傳 PDF 並指定審核者後按「送交簽核」，應顯示「已送交簽核」，審核者於 DM02 看得到此送審；核准前文件庫不會出現該文件，核准後出現。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於草稿匣按該草稿的「繼續編輯」，應帶入先前填寫的內容；補齊必填欄位後按「送交簽核」，應送出成功。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分類選「系統操作手冊」時應出現「關聯作業項目」；選擇已有已發布手冊的作業項目並送交簽核，應被擋下並提示「此關聯作業項目已有對應之已發布手冊」。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「指定審核者」清單應只列具審核者角色者，且不含撰寫者本人。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編輯新版本時「新版本號」填入本文件已發布過的版本號並送交簽核，應被擋下並提示「版本號與本文件已發布版本重複」。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