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2CBF" w:rsidRDefault="00262CBF">
      <w:pPr>
        <w:spacing w:after="0"/>
        <w:jc w:val="center"/>
      </w:pPr>
      <w:bookmarkStart w:id="0" w:name="_GoBack"/>
      <w:bookmarkEnd w:id="0"/>
    </w:p>
    <w:p w:rsidR="00262CBF" w:rsidRDefault="00B47883">
      <w:pPr>
        <w:spacing w:after="0"/>
        <w:jc w:val="center"/>
      </w:pPr>
      <w:r>
        <w:rPr>
          <w:sz w:val="72"/>
        </w:rPr>
        <w:t>國防醫學大學三軍總醫院</w:t>
      </w: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B47883">
      <w:pPr>
        <w:spacing w:after="0"/>
        <w:jc w:val="center"/>
      </w:pPr>
      <w:r>
        <w:rPr>
          <w:sz w:val="56"/>
        </w:rPr>
        <w:t>國軍醫院設立捐血站裝備整備案</w:t>
      </w:r>
    </w:p>
    <w:p w:rsidR="00262CBF" w:rsidRDefault="00B47883">
      <w:pPr>
        <w:spacing w:after="0"/>
        <w:jc w:val="center"/>
      </w:pPr>
      <w:r>
        <w:rPr>
          <w:sz w:val="56"/>
        </w:rPr>
        <w:t>測試報告</w:t>
      </w: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B47883">
      <w:pPr>
        <w:spacing w:after="0"/>
        <w:jc w:val="center"/>
      </w:pPr>
      <w:r>
        <w:rPr>
          <w:sz w:val="56"/>
        </w:rPr>
        <w:t>教育訓練文件管理模組</w:t>
      </w: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p w:rsidR="00262CBF" w:rsidRDefault="00262CBF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262CBF">
        <w:trPr>
          <w:jc w:val="center"/>
        </w:trPr>
        <w:tc>
          <w:tcPr>
            <w:tcW w:w="2160" w:type="dxa"/>
          </w:tcPr>
          <w:p w:rsidR="00262CBF" w:rsidRDefault="00B47883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262CBF" w:rsidRDefault="00B47883">
            <w:pPr>
              <w:spacing w:before="60" w:after="60"/>
            </w:pPr>
            <w:r>
              <w:t>1.0</w:t>
            </w:r>
          </w:p>
        </w:tc>
      </w:tr>
      <w:tr w:rsidR="00262CBF">
        <w:trPr>
          <w:jc w:val="center"/>
        </w:trPr>
        <w:tc>
          <w:tcPr>
            <w:tcW w:w="2160" w:type="dxa"/>
          </w:tcPr>
          <w:p w:rsidR="00262CBF" w:rsidRDefault="00B47883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262CBF" w:rsidRDefault="00B47883">
            <w:pPr>
              <w:spacing w:before="60" w:after="60"/>
            </w:pPr>
            <w:r>
              <w:t>2026/10/21</w:t>
            </w:r>
          </w:p>
        </w:tc>
      </w:tr>
      <w:tr w:rsidR="00262CBF">
        <w:trPr>
          <w:jc w:val="center"/>
        </w:trPr>
        <w:tc>
          <w:tcPr>
            <w:tcW w:w="2160" w:type="dxa"/>
          </w:tcPr>
          <w:p w:rsidR="00262CBF" w:rsidRDefault="00B47883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262CBF" w:rsidRDefault="00262CBF">
            <w:pPr>
              <w:spacing w:before="60" w:after="60"/>
            </w:pPr>
          </w:p>
        </w:tc>
      </w:tr>
      <w:tr w:rsidR="00262CBF">
        <w:trPr>
          <w:jc w:val="center"/>
        </w:trPr>
        <w:tc>
          <w:tcPr>
            <w:tcW w:w="2160" w:type="dxa"/>
          </w:tcPr>
          <w:p w:rsidR="00262CBF" w:rsidRDefault="00B47883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262CBF" w:rsidRDefault="00B47883">
            <w:pPr>
              <w:spacing w:before="60" w:after="60"/>
            </w:pPr>
            <w:r>
              <w:t>朱可棠</w:t>
            </w:r>
          </w:p>
        </w:tc>
      </w:tr>
    </w:tbl>
    <w:p w:rsidR="00262CBF" w:rsidRDefault="00B47883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262CBF">
        <w:tc>
          <w:tcPr>
            <w:tcW w:w="1151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262CBF">
        <w:tc>
          <w:tcPr>
            <w:tcW w:w="1151" w:type="dxa"/>
          </w:tcPr>
          <w:p w:rsidR="00262CBF" w:rsidRDefault="00B47883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262CBF" w:rsidRDefault="00B47883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262CBF" w:rsidRDefault="00B47883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262CBF" w:rsidRDefault="00B47883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262CBF" w:rsidRDefault="00B47883">
      <w:pPr>
        <w:pStyle w:val="Heading1NoTOC"/>
      </w:pPr>
      <w:r>
        <w:lastRenderedPageBreak/>
        <w:t>目錄</w:t>
      </w:r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97512" w:history="1">
        <w:r w:rsidRPr="000135F6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7513" w:history="1">
        <w:r w:rsidRPr="000135F6">
          <w:rPr>
            <w:rStyle w:val="affb"/>
            <w:noProof/>
          </w:rPr>
          <w:t xml:space="preserve">ET01 </w:t>
        </w:r>
        <w:r w:rsidRPr="000135F6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7514" w:history="1">
        <w:r w:rsidRPr="000135F6">
          <w:rPr>
            <w:rStyle w:val="affb"/>
            <w:noProof/>
          </w:rPr>
          <w:t xml:space="preserve">ET02 </w:t>
        </w:r>
        <w:r w:rsidRPr="000135F6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7515" w:history="1">
        <w:r w:rsidRPr="000135F6">
          <w:rPr>
            <w:rStyle w:val="affb"/>
            <w:noProof/>
          </w:rPr>
          <w:t xml:space="preserve">ET03 </w:t>
        </w:r>
        <w:r w:rsidRPr="000135F6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7516" w:history="1">
        <w:r w:rsidRPr="000135F6">
          <w:rPr>
            <w:rStyle w:val="affb"/>
            <w:noProof/>
          </w:rPr>
          <w:t xml:space="preserve">ET04 </w:t>
        </w:r>
        <w:r w:rsidRPr="000135F6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7517" w:history="1">
        <w:r w:rsidRPr="000135F6">
          <w:rPr>
            <w:rStyle w:val="affb"/>
            <w:noProof/>
          </w:rPr>
          <w:t xml:space="preserve">ET05 </w:t>
        </w:r>
        <w:r w:rsidRPr="000135F6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7518" w:history="1">
        <w:r w:rsidRPr="000135F6">
          <w:rPr>
            <w:rStyle w:val="affb"/>
            <w:noProof/>
          </w:rPr>
          <w:t xml:space="preserve">ET06 </w:t>
        </w:r>
        <w:r w:rsidRPr="000135F6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47883" w:rsidRDefault="00B4788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7519" w:history="1">
        <w:r w:rsidRPr="000135F6">
          <w:rPr>
            <w:rStyle w:val="affb"/>
            <w:noProof/>
          </w:rPr>
          <w:t xml:space="preserve">ET07 </w:t>
        </w:r>
        <w:r w:rsidRPr="000135F6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62CBF" w:rsidRDefault="00B47883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262CBF" w:rsidRDefault="00B47883">
      <w:pPr>
        <w:pStyle w:val="1"/>
      </w:pPr>
      <w:bookmarkStart w:id="1" w:name="_Toc243497512"/>
      <w:r>
        <w:lastRenderedPageBreak/>
        <w:t>測試注意事項</w:t>
      </w:r>
      <w:bookmarkEnd w:id="1"/>
    </w:p>
    <w:p w:rsidR="00262CBF" w:rsidRDefault="00B47883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262CBF" w:rsidRDefault="00B47883">
      <w:pPr>
        <w:pStyle w:val="1"/>
      </w:pPr>
      <w:bookmarkStart w:id="2" w:name="_Toc243497513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262CBF">
        <w:trPr>
          <w:jc w:val="center"/>
        </w:trPr>
        <w:tc>
          <w:tcPr>
            <w:tcW w:w="9638" w:type="dxa"/>
            <w:gridSpan w:val="4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262CB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262CBF">
        <w:trPr>
          <w:tblHeader/>
          <w:jc w:val="center"/>
        </w:trPr>
        <w:tc>
          <w:tcPr>
            <w:tcW w:w="907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262CBF">
        <w:trPr>
          <w:tblHeader/>
          <w:jc w:val="center"/>
        </w:trPr>
        <w:tc>
          <w:tcPr>
            <w:tcW w:w="907" w:type="dxa"/>
            <w:vMerge/>
          </w:tcPr>
          <w:p w:rsidR="00262CBF" w:rsidRDefault="00262CBF"/>
        </w:tc>
        <w:tc>
          <w:tcPr>
            <w:tcW w:w="6236" w:type="dxa"/>
            <w:vMerge/>
          </w:tcPr>
          <w:p w:rsidR="00262CBF" w:rsidRDefault="00262CBF"/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於「全部課程」以「關鍵字」「建立者」「單位」「職位」任一條件或組合查詢，清單應只列出符合條件的課程。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B47883">
      <w:pPr>
        <w:pStyle w:val="1"/>
      </w:pPr>
      <w:bookmarkStart w:id="3" w:name="_Toc243497514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262CBF">
        <w:trPr>
          <w:jc w:val="center"/>
        </w:trPr>
        <w:tc>
          <w:tcPr>
            <w:tcW w:w="9638" w:type="dxa"/>
            <w:gridSpan w:val="4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262CB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262CBF">
        <w:trPr>
          <w:tblHeader/>
          <w:jc w:val="center"/>
        </w:trPr>
        <w:tc>
          <w:tcPr>
            <w:tcW w:w="907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262CBF">
        <w:trPr>
          <w:tblHeader/>
          <w:jc w:val="center"/>
        </w:trPr>
        <w:tc>
          <w:tcPr>
            <w:tcW w:w="907" w:type="dxa"/>
            <w:vMerge/>
          </w:tcPr>
          <w:p w:rsidR="00262CBF" w:rsidRDefault="00262CBF"/>
        </w:tc>
        <w:tc>
          <w:tcPr>
            <w:tcW w:w="6236" w:type="dxa"/>
            <w:vMerge/>
          </w:tcPr>
          <w:p w:rsidR="00262CBF" w:rsidRDefault="00262CBF"/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以教師甲進入「學員學習表現」，「課程」下拉應只列出教師甲建立的已發布與已關閉課程，不含教師甲的草稿課程與教師乙的課程。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選擇教師甲一門已發布、已開啟「本課程需線下核可」、設有課後問卷，並含「測驗一」（可作答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次）與「測驗二」的課程（以下稱受測課程），學員甲、乙、丙已加入但尚未開始學習時，三人皆應為「未開始」、進度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選擇教師甲另一門未開啟線下核可、未建立課後問卷的已發布課程，清單應無「核可狀態」「核可」欄、勾選框與批次按鈕，且不顯示「問卷結果」區塊；按「匯出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完成受測課程的第一份教材後，重新進入本作業選擇受測課程，學員甲的學習進度應增加。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</w:t>
            </w:r>
            <w:r>
              <w:rPr>
                <w:rFonts w:ascii="標楷體" w:hAnsi="標楷體"/>
                <w:sz w:val="22"/>
              </w:rPr>
              <w:t>作答當時的樣子。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學員甲、乙學完受測課程全部內容（含「測驗二」），且學員甲填寫課後問卷（問答題填文字）後，按「已加入學員」區塊的「匯出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</w:t>
            </w:r>
            <w:r>
              <w:rPr>
                <w:rFonts w:ascii="標楷體" w:hAnsi="標楷體"/>
                <w:sz w:val="22"/>
              </w:rPr>
              <w:t>時間；學員甲應收到核可通過通知信。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新增一份教材並按「更新」後回本頁，學員甲、乙應顯示「進行中」、學習進度隨項目總數增加而下降，學員甲核可狀態為「未達核可資格」；學員甲補完該教材後，離開本作業再重新進入並選擇受測課程，學員甲應自動回到「已完成」「已通過」，不需重新核可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</w:t>
            </w:r>
            <w:r>
              <w:rPr>
                <w:rFonts w:ascii="標楷體" w:hAnsi="標楷體"/>
                <w:sz w:val="22"/>
              </w:rPr>
              <w:t>可按。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重測兩次皆未及格後，其作答明細應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學員丙被移除後，以學員丙登入，「我的課程」不再顯示受測課程，輸入受測課程的邀請碼應被擋下並提示已被移除；於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邀請重新邀請學員丙後，學員丙重新出現在本頁，加入時間更新為重新邀請的時點，原學習進度與成績接續保留。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關閉受測課程後回本頁選擇受測課程，應顯示唯讀提示；三區塊照常顯示，「移除」「重置重考次數」皆呈灰色，「匯出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</w:t>
            </w:r>
            <w:r>
              <w:rPr>
                <w:rFonts w:ascii="標楷體" w:hAnsi="標楷體"/>
                <w:sz w:val="22"/>
              </w:rPr>
              <w:lastRenderedPageBreak/>
              <w:t>當時的學員人數。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B47883">
      <w:pPr>
        <w:pStyle w:val="1"/>
      </w:pPr>
      <w:bookmarkStart w:id="4" w:name="_Toc243497515"/>
      <w:r>
        <w:lastRenderedPageBreak/>
        <w:t xml:space="preserve">ET03 </w:t>
      </w:r>
      <w:r>
        <w:t>我</w:t>
      </w:r>
      <w:r>
        <w:t>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262CBF">
        <w:trPr>
          <w:jc w:val="center"/>
        </w:trPr>
        <w:tc>
          <w:tcPr>
            <w:tcW w:w="9638" w:type="dxa"/>
            <w:gridSpan w:val="4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262CB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262CBF">
        <w:trPr>
          <w:tblHeader/>
          <w:jc w:val="center"/>
        </w:trPr>
        <w:tc>
          <w:tcPr>
            <w:tcW w:w="907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262CBF">
        <w:trPr>
          <w:tblHeader/>
          <w:jc w:val="center"/>
        </w:trPr>
        <w:tc>
          <w:tcPr>
            <w:tcW w:w="907" w:type="dxa"/>
            <w:vMerge/>
          </w:tcPr>
          <w:p w:rsidR="00262CBF" w:rsidRDefault="00262CBF"/>
        </w:tc>
        <w:tc>
          <w:tcPr>
            <w:tcW w:w="6236" w:type="dxa"/>
            <w:vMerge/>
          </w:tcPr>
          <w:p w:rsidR="00262CBF" w:rsidRDefault="00262CBF"/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放」即本頁的「尚未開放」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起始時間設在稍後（尚未開放）的已加入課程，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已完成部分項目的課程，卡片的「完成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全部教材與測驗數；於該課程再完成一項後回到本頁，比例應隨之增加。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已完成全部教材與測驗但未填課後問卷的課程，卡片應標「已完成」並計入「已完成」；教師於該課程新增一份教材並按「更新」後，該課程應改標「進行中」，統計同步由已</w:t>
            </w:r>
            <w:r>
              <w:rPr>
                <w:rFonts w:ascii="標楷體" w:hAnsi="標楷體"/>
                <w:sz w:val="22"/>
              </w:rPr>
              <w:t>完成移至進行中。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由教師關閉、含測驗的已加入課程（以下稱已關閉課程），卡片應標「已關閉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點一門尚未開始的已加入課程卡片，應進入該課程的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取得一門學員甲、乙皆未加入的已發布課程（以下稱可加入課程）的邀請碼，以學員乙按「加入新課程」輸入該邀請碼按「查詢」，應顯示課程名稱、教師與章節數。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於上述查詢結果按「上一步」再按「取消」關閉視窗，可加入課程不應出現在清單上；再次查詢後按「確認加入」，應顯示「已加入課程」並進入可加入課程的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，回到本頁可加入課程列於清單，「已加入課程」加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時已開啟第一份教材，可加入課程計入「進行中」）。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以學員乙輸入一門起始時間在未來、尚未加入之課程的邀請碼查詢，應提示開放時點；按「確認加入」後應顯示「已加入，課程開放後即可開始學習」並留在本頁，該課程的卡片標「尚未開放」。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學員乙再次輸入已加入之可加入課程的邀請碼按「查詢」，應直接進入可加入課程的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以學員甲開啟可加入課程的邀請連結並登入，應進入本頁並自動開啟「加入新課程」視窗並填好邀請碼，在按「查詢」與「確認加入」前不應已加入。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以學員乙輸入已關閉課程的邀請碼，應擋下並顯示「此課程目前關閉中」；教師於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開啟該課程按「更新並重開課」後，學員乙以同一組邀請碼應可加入。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B47883">
      <w:pPr>
        <w:pStyle w:val="1"/>
      </w:pPr>
      <w:bookmarkStart w:id="5" w:name="_Toc243497516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262CBF">
        <w:trPr>
          <w:jc w:val="center"/>
        </w:trPr>
        <w:tc>
          <w:tcPr>
            <w:tcW w:w="9638" w:type="dxa"/>
            <w:gridSpan w:val="4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262CB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262CBF">
        <w:trPr>
          <w:tblHeader/>
          <w:jc w:val="center"/>
        </w:trPr>
        <w:tc>
          <w:tcPr>
            <w:tcW w:w="907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262CBF">
        <w:trPr>
          <w:tblHeader/>
          <w:jc w:val="center"/>
        </w:trPr>
        <w:tc>
          <w:tcPr>
            <w:tcW w:w="907" w:type="dxa"/>
            <w:vMerge/>
          </w:tcPr>
          <w:p w:rsidR="00262CBF" w:rsidRDefault="00262CBF"/>
        </w:tc>
        <w:tc>
          <w:tcPr>
            <w:tcW w:w="6236" w:type="dxa"/>
            <w:vMerge/>
          </w:tcPr>
          <w:p w:rsidR="00262CBF" w:rsidRDefault="00262CBF"/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以教師甲進入「核可查詢」，不輸入任何條件，應即列出全部紀錄，含教師甲開設、需線下核可之課程（以下稱課程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）中學員甲的通過、學員乙的不通過與學員丙的已撤銷紀錄，以及教師乙開設、不需線下核可之課程（以下稱課程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）中學員甲的通過紀錄。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「核可結果」選「僅通過」，應不含學員丙已撤銷的通過；選「僅已撤銷」，學員丙的紀錄應顯示「已撤銷（原通過）」並列出撤銷人與撤銷時間。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</w:t>
            </w:r>
            <w:r>
              <w:rPr>
                <w:rFonts w:ascii="標楷體" w:hAnsi="標楷體"/>
                <w:sz w:val="22"/>
              </w:rPr>
              <w:lastRenderedPageBreak/>
              <w:t>「通過」、狀態「有效」，原撤銷資訊不再顯示；學員丙應收到核可通過通知信。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B47883">
      <w:pPr>
        <w:pStyle w:val="1"/>
      </w:pPr>
      <w:bookmarkStart w:id="6" w:name="_Toc243497517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262CBF">
        <w:trPr>
          <w:jc w:val="center"/>
        </w:trPr>
        <w:tc>
          <w:tcPr>
            <w:tcW w:w="9638" w:type="dxa"/>
            <w:gridSpan w:val="4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262CB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262CBF">
        <w:trPr>
          <w:tblHeader/>
          <w:jc w:val="center"/>
        </w:trPr>
        <w:tc>
          <w:tcPr>
            <w:tcW w:w="907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262CBF">
        <w:trPr>
          <w:tblHeader/>
          <w:jc w:val="center"/>
        </w:trPr>
        <w:tc>
          <w:tcPr>
            <w:tcW w:w="907" w:type="dxa"/>
            <w:vMerge/>
          </w:tcPr>
          <w:p w:rsidR="00262CBF" w:rsidRDefault="00262CBF"/>
        </w:tc>
        <w:tc>
          <w:tcPr>
            <w:tcW w:w="6236" w:type="dxa"/>
            <w:vMerge/>
          </w:tcPr>
          <w:p w:rsidR="00262CBF" w:rsidRDefault="00262CBF"/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於上述教材視窗填說明文字並上傳影片後按「儲存」，應顯示「教材已儲存」；重新開啟該教材，說明文字與影片皆在。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訓對象下方顯示紅字提示，補填後隨即消失；按「儲存草稿」保存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新增章節與教材，教材只引用文件管理「訓練教材」分類中一份已發布、可廢止的文件（以下稱文件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按「儲存並發布」應被擋下並提示「請先移除已廢止文件之引用」。此引用請保留到第</w:t>
            </w:r>
            <w:r>
              <w:rPr>
                <w:rFonts w:ascii="標楷體" w:hAnsi="標楷體"/>
                <w:sz w:val="22"/>
              </w:rPr>
              <w:t xml:space="preserve"> 35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於上述測驗的「題庫管理」新增兩題，各按該題的「儲存題目」後，</w:t>
            </w:r>
            <w:r>
              <w:rPr>
                <w:rFonts w:ascii="標楷體" w:hAnsi="標楷體"/>
                <w:sz w:val="22"/>
              </w:rPr>
              <w:t>直接按視窗右上角的關閉鈕，重新開啟兩題應仍在；按某題的編輯鈕修改題幹但未按「儲存題目」即按右上角的關閉鈕，於「放棄變更」視窗按「確定」，該次修改應消失。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、該測驗與問卷卡片以紅框標示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提供「編輯」與刪除鈕，沒有「停用問卷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問卷已有題目後，於第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項的空章節新增一份教材、測驗兩題配分改為總和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，按「儲存並發布」並「確認發布」，課程狀態應轉為「已發布」，並顯示依受訓對象帶入的學員人數與一組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再進入，上方</w:t>
            </w:r>
            <w:r>
              <w:rPr>
                <w:rFonts w:ascii="標楷體" w:hAnsi="標楷體"/>
                <w:sz w:val="22"/>
              </w:rPr>
              <w:t>顯示的邀請碼應與發布時同一組，「邀請學員」的「邀請碼」分頁亦為同一組，畫面不提供重新產生。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改課程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既有的受訓對象應鎖定（兩欄停用、無刪除鈕），只能新增新的組別；新增一組與學員丙相符的受訓對象並按「更</w:t>
            </w:r>
            <w:r>
              <w:rPr>
                <w:rFonts w:ascii="標楷體" w:hAnsi="標楷體"/>
                <w:sz w:val="22"/>
              </w:rPr>
              <w:lastRenderedPageBreak/>
              <w:t>新」，學員丙應被加入並收到一封通知信，學員甲不重複收信；按「更新」之前不應有人收到信。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</w:t>
            </w:r>
            <w:r>
              <w:rPr>
                <w:rFonts w:ascii="標楷體" w:hAnsi="標楷體"/>
                <w:sz w:val="22"/>
              </w:rPr>
              <w:t>，學員甲、乙的作答紀錄與成績完整保留、仍可回看。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新增題目並選「儲存並要求重測」、學員尚無變化的狀態下，再調整配分使總和為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（重測視窗同樣選「儲存並要求重測」）並按「更新」後，學員甲、乙皆應收到通知信、該測驗回到未完成且作答次數重新計算；尚未作答的學員丙不受影響、不收到通知信。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對上述尚未更新的新增章節按「</w:t>
            </w:r>
            <w:r>
              <w:rPr>
                <w:rFonts w:ascii="標楷體" w:hAnsi="標楷體"/>
                <w:sz w:val="22"/>
              </w:rPr>
              <w:t>更新」，應先跳出「更新課程內容」確認視窗，按「確認更新」後顯示「課程內容已更新，學員已可看到」，學員端隨即看到該章節、所有已加入的學員收到通知信，學員甲的完課狀態回退為「進行中」且已填的課</w:t>
            </w:r>
            <w:r>
              <w:rPr>
                <w:rFonts w:ascii="標楷體" w:hAnsi="標楷體"/>
                <w:sz w:val="22"/>
              </w:rPr>
              <w:lastRenderedPageBreak/>
              <w:t>後問卷不需重填。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的教材引用「訓練教材」分類中另一份已發布文件（以下稱文件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）並按「儲存」，按「更新」並「確認更新」後，學員於該章節應可開啟此文件。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邊選單其他項目，應跳出「離開將放棄本次的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於已關閉的課程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新增一個章節與一份教材後按「保留編輯」，應顯示「編輯已保留，學員看到的仍是關閉前的內容」並回到課程列表；重新進入該章節仍在，學員回看的仍是關閉前的內容。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於上述「課程已重新開課」視窗按「關閉」回到課程列表，課程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32 </w:t>
            </w:r>
            <w:r>
              <w:rPr>
                <w:rFonts w:ascii="標楷體" w:hAnsi="標楷體"/>
                <w:sz w:val="22"/>
              </w:rPr>
              <w:t>項新增的</w:t>
            </w:r>
            <w:r>
              <w:rPr>
                <w:rFonts w:ascii="標楷體" w:hAnsi="標楷體"/>
                <w:sz w:val="22"/>
              </w:rPr>
              <w:t>章節，成績接續保留（完課率依新的項目數重算），原邀請碼恢復有效。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</w:t>
            </w:r>
            <w:r>
              <w:rPr>
                <w:rFonts w:ascii="標楷體" w:hAnsi="標楷體"/>
                <w:sz w:val="22"/>
              </w:rPr>
              <w:lastRenderedPageBreak/>
              <w:t>文字並儲存，再將受訓對象改為沒有任何學員相符的組合後按「儲存並發布」並「確認發布」，應顯示課程已發布但無學員符合受訓對象的警告，並提示可改用邀請碼。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27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B47883">
      <w:pPr>
        <w:pStyle w:val="1"/>
      </w:pPr>
      <w:bookmarkStart w:id="7" w:name="_Toc243497518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262CBF">
        <w:trPr>
          <w:jc w:val="center"/>
        </w:trPr>
        <w:tc>
          <w:tcPr>
            <w:tcW w:w="9638" w:type="dxa"/>
            <w:gridSpan w:val="4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262CB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262CBF">
        <w:trPr>
          <w:tblHeader/>
          <w:jc w:val="center"/>
        </w:trPr>
        <w:tc>
          <w:tcPr>
            <w:tcW w:w="907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262CBF">
        <w:trPr>
          <w:tblHeader/>
          <w:jc w:val="center"/>
        </w:trPr>
        <w:tc>
          <w:tcPr>
            <w:tcW w:w="907" w:type="dxa"/>
            <w:vMerge/>
          </w:tcPr>
          <w:p w:rsidR="00262CBF" w:rsidRDefault="00262CBF"/>
        </w:tc>
        <w:tc>
          <w:tcPr>
            <w:tcW w:w="6236" w:type="dxa"/>
            <w:vMerge/>
          </w:tcPr>
          <w:p w:rsidR="00262CBF" w:rsidRDefault="00262CBF"/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學員甲第一次點受測課程（第一章依序為含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支影片、含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支影片、只有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文件、只引用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Excel </w:t>
            </w:r>
            <w:r>
              <w:rPr>
                <w:rFonts w:ascii="標楷體" w:hAnsi="標楷體"/>
                <w:sz w:val="22"/>
              </w:rPr>
              <w:t>文件的教材與一份測驗，第二章為只有說明文字的教材，並設有課後問卷）的卡片，應落在第一章的第一個項目，左側「課程進度」為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第一個項目尚未完成時點第二個項目，應提示「請先完成「（第一個項目名稱）」後解鎖」，內容區不切換；此時左側最下方不出現問卷入口。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學員甲完成全部項目後（第二章只有說明文字的教材點開即完</w:t>
            </w:r>
            <w:r>
              <w:rPr>
                <w:rFonts w:ascii="標楷體" w:hAnsi="標楷體"/>
                <w:sz w:val="22"/>
              </w:rPr>
              <w:lastRenderedPageBreak/>
              <w:t>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</w:t>
            </w:r>
            <w:r>
              <w:rPr>
                <w:rFonts w:ascii="標楷體" w:hAnsi="標楷體"/>
                <w:sz w:val="22"/>
              </w:rPr>
              <w:t>口消失。兩人完成新教材後，學員乙恢復「已完成」，學員丙重新出現「填寫課後問卷」。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教師甲關閉受測課程後，學員丁進入應顯示「此課程目前關閉中，僅可回看已學內容」，已開放的項目可開啟、影片可播放但不再顯示觀看進度，尚未開放的項目仍為鎖定。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測課程已關閉的狀態下，學員丁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教師甲開啟已關閉的受測課程，按底部「更新並重開課」並於視窗按「關閉」後，學員丁的學習進度應接續保留並可繼續學習，學員丙可填寫並送出課後問卷。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B47883">
      <w:pPr>
        <w:pStyle w:val="1"/>
      </w:pPr>
      <w:bookmarkStart w:id="8" w:name="_Toc243497519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262CBF">
        <w:trPr>
          <w:jc w:val="center"/>
        </w:trPr>
        <w:tc>
          <w:tcPr>
            <w:tcW w:w="9638" w:type="dxa"/>
            <w:gridSpan w:val="4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1474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262CBF" w:rsidRDefault="00262CB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262CBF">
        <w:trPr>
          <w:tblHeader/>
          <w:jc w:val="center"/>
        </w:trPr>
        <w:tc>
          <w:tcPr>
            <w:tcW w:w="907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262CBF">
        <w:trPr>
          <w:tblHeader/>
          <w:jc w:val="center"/>
        </w:trPr>
        <w:tc>
          <w:tcPr>
            <w:tcW w:w="907" w:type="dxa"/>
            <w:vMerge/>
          </w:tcPr>
          <w:p w:rsidR="00262CBF" w:rsidRDefault="00262CBF"/>
        </w:tc>
        <w:tc>
          <w:tcPr>
            <w:tcW w:w="6236" w:type="dxa"/>
            <w:vMerge/>
          </w:tcPr>
          <w:p w:rsidR="00262CBF" w:rsidRDefault="00262CBF"/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學員甲於受測課程的學習頁點測驗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（限時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分鐘、及格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題中含一題配分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個選項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個正確的多選題），內容區應直接顯示題數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按「開始作答」進入測驗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學員甲開啟另一門課程中不限時、只能作答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</w:t>
            </w:r>
            <w:r>
              <w:rPr>
                <w:rFonts w:ascii="標楷體" w:hAnsi="標楷體"/>
                <w:sz w:val="22"/>
              </w:rPr>
              <w:t>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題，停在第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題照常計分（停留中那一題已選好的答案不會漏計）；歷次作答紀錄中該次標示「逾時」。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</w:t>
            </w:r>
            <w:r>
              <w:rPr>
                <w:rFonts w:ascii="標楷體" w:hAnsi="標楷體"/>
                <w:sz w:val="22"/>
              </w:rPr>
              <w:lastRenderedPageBreak/>
              <w:t>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</w:t>
            </w: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分以上，結果頁應顯示合格，該測驗項目標示完成，下一章的第一個項目隨即可點開（只點開第一份教材，第二份留待第</w:t>
            </w:r>
            <w:r>
              <w:rPr>
                <w:rFonts w:ascii="標楷體" w:hAnsi="標楷體"/>
                <w:sz w:val="22"/>
              </w:rPr>
              <w:t xml:space="preserve"> 16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學員乙於一份可作答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）用完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次且未及格後，應顯示「重考次數已用完，請聯繫教師重置」、「開始作答」不可按，歷次作答紀錄仍可點</w:t>
            </w:r>
            <w:r>
              <w:rPr>
                <w:rFonts w:ascii="標楷體" w:hAnsi="標楷體"/>
                <w:sz w:val="22"/>
              </w:rPr>
              <w:t>閱。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所屬的課程，於「作答明細」展開學員乙，按測驗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教師已要求重測後，測驗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的歷次作答紀錄末尾應出現一列「教師要求重測（測驗內容已更新）」與日期，先前的作答以灰色顯示並標「前一輪」、仍可點開；學員甲重新作答一次並得低於先前最高分的成績，最高分應為這次的成績。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  <w:tr w:rsidR="00262CBF">
        <w:trPr>
          <w:jc w:val="center"/>
        </w:trPr>
        <w:tc>
          <w:tcPr>
            <w:tcW w:w="907" w:type="dxa"/>
          </w:tcPr>
          <w:p w:rsidR="00262CBF" w:rsidRDefault="00B47883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262CBF" w:rsidRDefault="00B47883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262CBF" w:rsidRDefault="00262CBF">
            <w:pPr>
              <w:spacing w:before="60" w:after="60"/>
              <w:jc w:val="center"/>
            </w:pPr>
          </w:p>
        </w:tc>
      </w:tr>
    </w:tbl>
    <w:p w:rsidR="00000000" w:rsidRDefault="00B47883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B47883">
      <w:rPr>
        <w:noProof/>
        <w:sz w:val="20"/>
      </w:rPr>
      <w:t>20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5F837661"/>
    <w:multiLevelType w:val="multilevel"/>
    <w:tmpl w:val="4B9AD71E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CBF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47883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736922F-B671-4DB5-95E1-A37E1FB57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23</Pages>
  <Words>2082</Words>
  <Characters>11870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2026-10-21T09:51:00Z</dcterms:modified>
  <cp:category/>
</cp:coreProperties>
</file>