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既有文件之新版本核准發布後回主頁，分類數字與總計應不變，公告最上方出現該文件並標示「新版本」加版本號，該文件先前的公告列應不再出現。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對已發布文件提出廢止申請後，待審核期間該分類數字應不變；審核者核准廢止後回主頁，該分類數字應減一，公告區該文件之列一併移除。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於「作者（姓名）」輸入編輯者甲姓名中他人沒有的一段文字，清單應只列出編輯者甲建立的文件。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手動觸發），審核者甲應收到一封催辦 Email，主旨為「【催辦】您有 N 件送審待簽核」，信中逐項列出其所有逾期送審之文件名稱與停留天數；有多筆逾期者仍只收到一封。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按「核准並發布」，於確認視窗按「確認核准」，應顯示「已核准並發布」，該項目移至「已完成」，文件 P 出現於文件庫，編輯者甲之個人專區「我的文件動態」應出現該文件的「核准發布」列。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AB（訓練教材）按「核准並發布」並「確認核准」，文件 AB 應轉為已發布，閱覽者甲、閱覽者乙皆應收不到其發布通知。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Email），該列「退回原因」欄顯示剛才填寫的退回原因全文。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應仍為已發布並照常列於文件庫；編輯者甲之「我的文件動態」該筆「已退回」列的「退回原因」欄應顯示所填原因。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切換至「已完成」，應列出本人核准與退回之項目、結果與送審者；文件 Q 之退回列「退回原因」欄應為所填原因，文件 P 之核准列為「—」；於「搜尋文件名稱」輸入文件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之列，應進入唯讀頁面，上方紅色提示列顯示廢止時間、申請人、核准者與廢止原因，標題列下方不出現操作列（含「版本歷程」按鈕）。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開啟中文正常，內容為目前查詢條件下的全部結果，廢止時間之時間值與畫面一致。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以審核者甲進入個人專區，應只有「我的文件動態」一個分頁，不出現「草稿匣」。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AC 之首版草稿按「刪除」並「確認刪除」，文件 AC 應自草稿匣消失，文件庫中亦查無文件 AC。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I 之草稿，「繼續編輯」應無法按，滑鼠移上顯示正在廢止簽核中、待簽核結果出爐後再處理（與第 12 項為不同句），該列「刪除」仍可操作；審核者退回該廢止申請後，「繼續編輯」應恢復可按。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的發布紀錄，「時間」應為審核者甲核准的時間，備註應為送審時填寫的首版摘要或變更摘要。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送審中時、以及於文件詳細頁下載文件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AA 目前發布版後，本作業文件 AA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Z、未下載，文件 Z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AA，文件 AA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AA，文件 AA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兼具編輯者角色的閱覽者乙於文件詳細頁下載文件 AA 目前發布版後，文件 AA 的已看應加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管理者於 DP01 使用者管理停用閱覽者甲後再進入本作業，文件 AA 的應看與已看應各減 1；測完即重新啟用閱覽者甲。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AA 發布新版本後，文件 AA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編輯者甲對文件 Z 提出廢止申請、尚未核准時，文件 Z 應仍列於文件統計；審核者核准廢止後，文件 Z 應自本作業移除。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於「分類」選文件 AA 與文件 M 所屬分類，整體平均閱讀率應等於清單中應看不為 0 之各文件閱讀率的平均值（不含文件 M），每份文件權重相同。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於「分類」選訓練教材以外的一個分類後，兩張統計卡應只計算該分類下的文件。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承上，閱覽者丙應同時計入其符合的兩組，各組應看相加應大於文件 N 的應看。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以雙角色帳號按「廢止此文件」，「指定審核者」清單應只列具審核者角色者，且不含該帳號本人。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文件庫消失；以管理者由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編輯者甲對文件 Y 申請廢止時附加一個 PDF 作為廢止附件，核准後以管理者由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Y，其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以閱覽者甲開啟文件 Y 的詳細頁網址，應看得到紅色橫幅與廢止時間、申請人、核准者、廢止原因，但不應出現「下載廢止附件」（與第 12 項對照）。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按「新增文件」，填妥文件名稱、分類（訓練教材以外）、可見對象「國防部軍醫局＋護理師」、首版版本號、首版摘要，上傳 PDF 並指定審核者後按「送交簽核」，應顯示「已送交簽核」，審核者於 DM02 看得到此送審；核准前文件庫不會出現該文件，核准後出現。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於草稿匣按該草稿的「繼續編輯」，應帶入先前填寫的內容；補齊必填欄位後按「送交簽核」，應送出成功。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分類選「系統操作手冊」時應出現「關聯作業項目」；選擇已有已發布手冊的作業項目並送交簽核，應被擋下並提示「此關聯作業項目已有對應之已發布手冊」，且該內容已存為草稿、出現於 DM04 個人專區之草稿匣（測後於草稿匣刪除該草稿）。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「指定審核者」清單應只列具審核者角色者，且不含撰寫者本人。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編輯新版本時「新版本號」填入本文件已發布過的版本號並送交簽核，應被擋下並提示「版本號與本文件已發布版本重複」（測後至 DM04 個人專區草稿匣刪除該草稿，否則第 10 項之「編輯新版本」呈灰色）。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