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2026/10/05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2026/10/05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按「核准並發布」，於確認視窗按「確認核准」，應顯示「已核准並發布，已通知撰寫者」，該項目移至「已完成」，文件 P 出現於文件庫，編輯者甲收到文件發布通知。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應自文件庫下架，編輯者甲收到通知，且不寄出文件發布通知；文件變更歷程查詢應留有其廢止紀錄。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回到編輯者甲個人專區之草稿，編輯者甲收到退回通知。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切換至「已完成」，應列出本人核准與退回之項目及其結果；於「搜尋文件名稱」輸入文件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