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 Email，信中含文件名稱與停留天數。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出現於文件庫，編輯者甲之個人專區「我的文件動態」應出現該文件的「核准發布」列（撰寫者這一半改為站內呈現，不寄 Email）。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按「廢止此文件」，填寫廢止原因、指定審核者後按「送出廢止申請」，應顯示「已送出廢止申請，已通知指定審核者」，審核者於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並指定審核者後按「送交簽核」，應顯示「已送交簽核，已通知指定審核者」，審核者於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