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自报类风湿关节炎与曾患哮喘的关联</w:t>
      </w:r>
    </w:p>
    <w:p>
      <w:pPr>
        <w:pStyle w:val="Subtitle"/>
        <w:widowControl/>
      </w:pPr>
      <w:r>
        <w:t>NHANES 1999年至2020年3月与2021年至2023年重复横断面研究</w:t>
      </w:r>
    </w:p>
    <w:p>
      <w:pPr>
        <w:widowControl/>
      </w:pPr>
      <w:r>
        <w:rPr>
          <w:sz w:val="18"/>
        </w:rPr>
        <w:t>［作者姓名、排序、单位、通信作者及基金信息待作者据实补齐］</w:t>
      </w:r>
    </w:p>
    <w:p>
      <w:pPr>
        <w:pStyle w:val="Heading1"/>
      </w:pPr>
      <w:r>
        <w:t>摘要</w:t>
      </w:r>
    </w:p>
    <w:p>
      <w:pPr>
        <w:widowControl/>
      </w:pPr>
      <w:r>
        <w:t>【目的】分析自报类风湿关节炎（RA）与曾患哮喘的关联，评价其在较新调查时期的表现，并考察跨期合并估计的适用性。</w:t>
      </w:r>
    </w:p>
    <w:p>
      <w:pPr>
        <w:widowControl/>
      </w:pPr>
      <w:r>
        <w:t>【方法】使用美国国家健康与营养检查调查（NHANES）1999—2020年3月及2021年8月—2023年8月资料。纳入20～79岁、疾病及七项预设协变量完整有效者。结局为自报曾被医生或其他卫生专业人员告知患哮喘；RA要求医生诊断关节炎且类型为RA；对照为明确无关节炎者。采用体检权重、分层和主要抽样单位进行子总体分析。分别建立四个复杂抽样Logistic模型；预先规定跨期合并补充、调查周期调整和时期交互检查，并进行函数形式、标准化比例及完整病例选择敏感性分析。</w:t>
      </w:r>
    </w:p>
    <w:p>
      <w:pPr>
        <w:widowControl/>
      </w:pPr>
      <w:r>
        <w:t>【结果】疫情前及最新时期分别纳入37,127人和3,563人，其中RA者分别为2,372人和255人。完全调整模型的优势比（OR）及95%置信区间分别为2.27（1.91—2.70）和1.97（1.33—2.92）。合并40,690人并调整调查周期后的OR为2.25（1.92—2.64），加入年龄及贫困收入比非线性调整后为2.22（1.89—2.61）。线性调整的时期交互OR比为0.85（0.56—1.28），P=0.430；其区间仍容许一定幅度的时期差异。</w:t>
      </w:r>
    </w:p>
    <w:p>
      <w:pPr>
        <w:widowControl/>
      </w:pPr>
      <w:r>
        <w:t>【结论】在规定的完整病例及无关节炎对照口径下，两个观测时期均见RA与曾患哮喘的正向横断面关联。跨期合并可提供补充性的混合人群关联估计，但不能证明时期等效、代表疫情调查空档或判断因果关系。</w:t>
      </w:r>
    </w:p>
    <w:p>
      <w:pPr>
        <w:widowControl/>
      </w:pPr>
      <w:r>
        <w:rPr>
          <w:sz w:val="20"/>
        </w:rPr>
        <w:t>关键词：类风湿关节炎；哮喘；横断面研究；复杂抽样；美国国家健康与营养检查调查</w:t>
      </w:r>
    </w:p>
    <w:p>
      <w:pPr>
        <w:pStyle w:val="Heading1"/>
        <w:pageBreakBefore/>
      </w:pPr>
      <w:r>
        <w:t>Association Between Self Reported Rheumatoid Arthritis and Ever Diagnosed Asthma</w:t>
      </w:r>
    </w:p>
    <w:p>
      <w:pPr>
        <w:widowControl/>
      </w:pPr>
      <w:r>
        <w:rPr>
          <w:sz w:val="24"/>
        </w:rPr>
        <w:t>Repeated Cross Sectional Analyses of NHANES 1999 to March 2020 and August 2021 to August 2023</w:t>
      </w:r>
    </w:p>
    <w:p>
      <w:pPr>
        <w:widowControl/>
      </w:pPr>
      <w:r>
        <w:rPr>
          <w:sz w:val="18"/>
        </w:rPr>
        <w:t>[Author names and affiliations to be supplied]</w:t>
      </w:r>
    </w:p>
    <w:p>
      <w:pPr>
        <w:pStyle w:val="Heading2"/>
      </w:pPr>
      <w:r>
        <w:t>Abstract</w:t>
      </w:r>
    </w:p>
    <w:p>
      <w:pPr>
        <w:widowControl/>
      </w:pPr>
      <w:r>
        <w:t>Objective To examine the association between self-reported rheumatoid arthritis (RA) and ever-diagnosed asthma across two observed survey periods and assess supplementary pooling across periods.</w:t>
      </w:r>
    </w:p>
    <w:p>
      <w:pPr>
        <w:widowControl/>
      </w:pPr>
      <w:r>
        <w:t>Methods Adults aged 20–79 years with complete disease information and seven prespecified covariates were selected from NHANES 1999–March 2020 and August 2021–August 2023. RA required self-reported doctor-diagnosed arthritis of the rheumatoid type; comparators explicitly reported no arthritis. Ever-diagnosed asthma was the outcome. Examination weights, strata and primary sampling units were incorporated into survey-domain analyses. Four fixed logistic models were fitted separately by period. Prespecified supplementary analyses addressed pooling, cycle adjustment, period interactions, nonlinear adjustment, standardized proportions and complete-case selection.</w:t>
      </w:r>
    </w:p>
    <w:p>
      <w:pPr>
        <w:widowControl/>
      </w:pPr>
      <w:r>
        <w:t>Results The two periods included 37,127 and 3,563 participants, including 2,372 and 255 with RA, respectively. Fully adjusted odds ratios (ORs) were 2.27 (95% confidence interval [CI], 1.91–2.70) and 1.97 (95% CI, 1.33–2.92). Among 40,690 pooled participants, the cycle-adjusted OR was 2.25 (95% CI, 1.92–2.64); the OR with nonlinear age and poverty income ratio adjustment was 2.22 (95% CI, 1.89–2.61). The latest-to-prepandemic OR ratio in the linear-adjustment interaction model was 0.85 (95% CI, 0.56–1.28; P=0.430), leaving uncertainty about differences between periods.</w:t>
      </w:r>
    </w:p>
    <w:p>
      <w:pPr>
        <w:widowControl/>
      </w:pPr>
      <w:r>
        <w:t>Conclusion Positive cross-sectional associations were observed in both periods under the specified complete-case and no-arthritis comparator definitions. Pooling provides a supplementary association for a mixture of observed periods, without establishing equivalence, representing the unobserved pandemic interval, or identifying causality.</w:t>
      </w:r>
    </w:p>
    <w:p>
      <w:pPr>
        <w:widowControl/>
      </w:pPr>
      <w:r>
        <w:rPr>
          <w:sz w:val="20"/>
        </w:rPr>
        <w:t>Keywords: rheumatoid arthritis; asthma; cross-sectional study; complex survey; NHANES</w:t>
      </w:r>
    </w:p>
    <w:p>
      <w:pPr>
        <w:pStyle w:val="Heading1"/>
        <w:pageBreakBefore/>
      </w:pPr>
      <w:r>
        <w:t>引言</w:t>
      </w:r>
    </w:p>
    <w:p>
      <w:pPr>
        <w:widowControl/>
      </w:pPr>
      <w:r>
        <w:t>RA与哮喘的共存可能涉及共同危险因素、诊断机会和治疗等多种解释。既往病历病例对照及全国调查报告过两病关联</w:t>
      </w:r>
      <w:r>
        <w:rPr>
          <w:vertAlign w:val="superscript"/>
        </w:rPr>
        <w:t>[1,3]</w:t>
      </w:r>
      <w:r>
        <w:t>；女性前瞻性研究在控制时间变化因素后，未发现RA与后续新发哮喘的明确关联</w:t>
      </w:r>
      <w:r>
        <w:rPr>
          <w:vertAlign w:val="superscript"/>
        </w:rPr>
        <w:t>[2]</w:t>
      </w:r>
      <w:r>
        <w:t>。曾患哮喘、当前哮喘发作及新发哮喘并非相同结局</w:t>
      </w:r>
      <w:r>
        <w:rPr>
          <w:vertAlign w:val="superscript"/>
        </w:rPr>
        <w:t>[4]</w:t>
      </w:r>
      <w:r>
        <w:t>，研究设计和疾病定义差异应纳入解释。</w:t>
      </w:r>
    </w:p>
    <w:p>
      <w:pPr>
        <w:widowControl/>
      </w:pPr>
      <w:r>
        <w:t>本研究延续已确认的疾病与对照定义，将疫情前资料扩展至2020年3月，并增加最新公开的2021—2023年资料。NHANES疫情期间暂停调查，CDC一般不建议将最新周期直接与早期周期合并</w:t>
      </w:r>
      <w:r>
        <w:rPr>
          <w:vertAlign w:val="superscript"/>
        </w:rPr>
        <w:t>[5]</w:t>
      </w:r>
      <w:r>
        <w:t>。因此，本研究保留分时期估计，同时将跨期合并作为预先规定的补充，以区分总体关联、时期差异及测量限制。</w:t>
      </w:r>
    </w:p>
    <w:p>
      <w:pPr>
        <w:pStyle w:val="Heading1"/>
      </w:pPr>
      <w:r>
        <w:t>1 资料与方法</w:t>
      </w:r>
    </w:p>
    <w:p>
      <w:pPr>
        <w:pStyle w:val="Heading2"/>
      </w:pPr>
      <w:r>
        <w:t>1.1 数据来源与人群</w:t>
      </w:r>
    </w:p>
    <w:p>
      <w:pPr>
        <w:widowControl/>
      </w:pPr>
      <w:r>
        <w:t>本研究为公开资料的重复横断面二次分析。使用DEMO、MCQ、SMQ、BMX四模块，全新获取44个官方数据文件，按受访者编号一对一连接。疫情前由1999—2016年九个两年周期和2017—2020年3月特殊发布块组成；后者已包含2017—2018年资料，因此未重复纳入旧2017—2018年文件。最新时期单独使用2021年8月—2023年8月资料</w:t>
      </w:r>
      <w:r>
        <w:rPr>
          <w:vertAlign w:val="superscript"/>
        </w:rPr>
        <w:t>[5-7]</w:t>
      </w:r>
      <w:r>
        <w:t>。不同调查时期不是同一批受访者的随访。</w:t>
      </w:r>
    </w:p>
    <w:p>
      <w:pPr>
        <w:widowControl/>
      </w:pPr>
      <w:r>
        <w:t>纳入年龄20～79岁、体检权重和设计变量有效、两病状态明确且七项协变量完整者。其他关节炎类型、类型未知、拒答、不知道、疾病或协变量实际缺失分别记录并排除。无关节炎者类型题的合法跳题和从未吸烟者后续题的合法跳题不视为缺失。最终筛选顺序及各步人数见图1、图2及完整筛选表。</w:t>
      </w:r>
    </w:p>
    <w:p>
      <w:pPr>
        <w:widowControl/>
      </w:pPr>
      <w:r>
        <w:t>原调查具有NHANES伦理审查批准和参与者知情同意</w:t>
      </w:r>
      <w:r>
        <w:rPr>
          <w:vertAlign w:val="superscript"/>
        </w:rPr>
        <w:t>[8]</w:t>
      </w:r>
      <w:r>
        <w:t>。本研究使用去标识化公开资料。［本单位公开数据二次研究的伦理审查或豁免认定、编号待据实补齐］。</w:t>
      </w:r>
    </w:p>
    <w:p>
      <w:pPr>
        <w:pStyle w:val="Heading2"/>
      </w:pPr>
      <w:r>
        <w:t>1.2 疾病及协变量</w:t>
      </w:r>
    </w:p>
    <w:p>
      <w:pPr>
        <w:widowControl/>
      </w:pPr>
      <w:r>
        <w:t>曾患哮喘由MCQ010肯定回答界定，不要求当前仍患哮喘。RA要求MCQ160A肯定且关节炎类型为RA；明确否定关节炎总题者作对照。1999—2008年类型字段为MCQ190，2009—2010年为MCQ191，两者RA编码为1；此后采用MCQ195，RA编码为2。未知和其他关节炎类型不编码为对照。逐发布块核对题干、代码本、适用年龄、频数及问卷跳题。</w:t>
      </w:r>
    </w:p>
    <w:p>
      <w:pPr>
        <w:widowControl/>
      </w:pPr>
      <w:r>
        <w:t>协变量为年龄、性别、种族/族裔、教育、贫困收入比（PIR）、体质指数（BMI）及吸烟。种族采用各期共同的RIDRETH1五类，教育为成人五级。BMI采用官方实测值；PIR为有效0～5值，5保留顶码含义。吸烟按终生100支及当前吸烟题分为从未、既往、当前。最新问卷使用SMQ.022及产品提示卡，发布字段仍为SMQ020；据公开题干保留同一100支分类，提示方式差异记为测量限制。</w:t>
      </w:r>
    </w:p>
    <w:p>
      <w:pPr>
        <w:widowControl/>
      </w:pPr>
      <w:r>
        <w:t>分类比较年龄分20～39、40～59、60～79岁；成人BMI分＜18.5、18.5～＜25、25～＜30、≥30 kg/m²</w:t>
      </w:r>
      <w:r>
        <w:rPr>
          <w:vertAlign w:val="superscript"/>
        </w:rPr>
        <w:t>[9]</w:t>
      </w:r>
      <w:r>
        <w:t>；PIR分＜1和≥1。主回归三者均连续线性调整。采用完整病例；不实施多重插补或因极端值本身而截尾。</w:t>
      </w:r>
    </w:p>
    <w:p>
      <w:pPr>
        <w:pStyle w:val="Heading2"/>
      </w:pPr>
      <w:r>
        <w:t>1.3 复杂抽样与权重</w:t>
      </w:r>
    </w:p>
    <w:p>
      <w:pPr>
        <w:widowControl/>
      </w:pPr>
      <w:r>
        <w:t>因模型包含实测BMI，采用体检权重。疫情前21.2年分析：1999—2002年使用WTMEC4YR乘4/21.2，2003—2016年使用WTMEC2YR乘2/21.2，2017—2020年3月使用WTMECPRP乘3.2/21.2。最新周期单独采用WTMEC2YR。上述依据CDC四年权重及特殊3.2年发布块规则构建</w:t>
      </w:r>
      <w:r>
        <w:rPr>
          <w:vertAlign w:val="superscript"/>
        </w:rPr>
        <w:t>[5,6]</w:t>
      </w:r>
      <w:r>
        <w:t>。</w:t>
      </w:r>
    </w:p>
    <w:p>
      <w:pPr>
        <w:widowControl/>
      </w:pPr>
      <w:r>
        <w:t>跨期补充定义为按已观测发布块时长加权的混合人群，总时长23.2年；四年块乘4/23.2，普通两年块及最新周期乘2/23.2，特殊块乘3.2/23.2。该定义不补回2020年4月—2021年7月空档，也不是CDC对跨疫情合并的特别认可。不得把混合样本估计写作2023年当前水平。</w:t>
      </w:r>
    </w:p>
    <w:p>
      <w:pPr>
        <w:widowControl/>
      </w:pPr>
      <w:r>
        <w:t>纳入官方分层SDMVSTRA和层内抽样单位SDMVPSU，在有效MEC宽样本建立设计，再取目标完整病例及亚组子总体；采用Taylor线性化方差，保留父设计抽样信息，不无依据拼接早期周期分层号</w:t>
      </w:r>
      <w:r>
        <w:rPr>
          <w:vertAlign w:val="superscript"/>
        </w:rPr>
        <w:t>[10]</w:t>
      </w:r>
      <w:r>
        <w:t>。R及survey的实际版本见复现附件。单系数以子总体设计自由度进行t检验及区间推断，联合检验采用设计Wald F方法</w:t>
      </w:r>
      <w:r>
        <w:rPr>
          <w:vertAlign w:val="superscript"/>
        </w:rPr>
        <w:t>[11]</w:t>
      </w:r>
      <w:r>
        <w:t>。</w:t>
      </w:r>
    </w:p>
    <w:p>
      <w:pPr>
        <w:pStyle w:val="Heading2"/>
      </w:pPr>
      <w:r>
        <w:t>1.4 模型与预设补充</w:t>
      </w:r>
    </w:p>
    <w:p>
      <w:pPr>
        <w:widowControl/>
      </w:pPr>
      <w:r>
        <w:t>每个分析集合四模型使用同一完整病例：M0未调整；M1增加年龄、性别、种族；M2再增加教育和PIR；M3再增加BMI及吸烟。主结果为M3。分类比较采用Rao–Scott校正F检验。年龄和性别亚组维持预设分组，组内调整其他协变量；交互检验来自总体模型，不能比较各组显著与否。检验为双侧，辅助分析未作多重性校正，解释结合效应大小、区间及预设地位。</w:t>
      </w:r>
    </w:p>
    <w:p>
      <w:pPr>
        <w:widowControl/>
      </w:pPr>
      <w:r>
        <w:t>补充B0等同M3；B1以三节点限制性立方样条调整年龄与PIR；B2再增加BMI样条；B3在B1增加发布块因子，仅适用于多周期的疫情前样本；B4以原体检权重除以完整病例纳入概率拟合B1，联合方差计入选择概率估计不确定性。选择模型使用两病、年龄及其非线性、性别、种族与可变的调查周期，不验证不可观察缺失机制。</w:t>
      </w:r>
    </w:p>
    <w:p>
      <w:pPr>
        <w:widowControl/>
      </w:pPr>
      <w:r>
        <w:t>样条节点在本轮拟合前按疫情前完整病例自变量第10、50、90百分位锁定，最新周期和合并分析共用：年龄/岁 24.00, 42.00, 67.00；PIR 0.64, 2.18, 5.00；BMI/（kg·m⁻²） 21.40, 27.61, 37.30。标准化比例以各自时间集合完整病例的加权协变量分布为参考，方差同时包含参数及参考分布抽样波动；不同集合的标准化比例不能直接作共同标准人口下的趋势比较。</w:t>
      </w:r>
    </w:p>
    <w:p>
      <w:pPr>
        <w:widowControl/>
      </w:pPr>
      <w:r>
        <w:t>跨期合并补充包括M0—M3、P1（M3增加发布块因子）、P2（P1增加年龄和PIR非线性项）。在P1、P2分别加入RA与时期乘积项；时期主效应已由发布块因子覆盖。交互系数指数变换为最新时期与疫情前OR之比。交互模型假定其他协变量效应共同，另保留两时期独立模型。不以交互不显著认定等效，不依据结果选择主分析。</w:t>
      </w:r>
    </w:p>
    <w:p>
      <w:pPr>
        <w:widowControl/>
      </w:pPr>
      <w:r>
        <w:t>检查唯一编号、官方频数、筛选闭合、单元格、收敛、设计矩阵秩、完全或准完全分离、共线性及精度。独立重建原始字段、资格与权重，独立PSU汇总计算设计方差，并以等价样条基、原生预测及显式Wald公式核验。一次补充方差检查发现默认收敛精度不足后，将求解容差收紧至1×10⁻¹²并重跑，未放宽校验阈值。</w:t>
      </w:r>
    </w:p>
    <w:p>
      <w:pPr>
        <w:pStyle w:val="Heading1"/>
      </w:pPr>
      <w:r>
        <w:t>2 结果</w:t>
      </w:r>
    </w:p>
    <w:p>
      <w:pPr>
        <w:pStyle w:val="Heading2"/>
      </w:pPr>
      <w:r>
        <w:t>2.1 人群及两组曾患哮喘比例</w:t>
      </w:r>
    </w:p>
    <w:p>
      <w:pPr>
        <w:widowControl/>
      </w:pPr>
      <w:r>
        <w:t>1999—2020年3月最终纳入37,127人，其中RA组2,372人、无关节炎组34,755人；曾患哮喘者分别为493人和4,204人，加权比例分别为22.23%和12.77%（表1、表2）。</w:t>
      </w:r>
    </w:p>
    <w:p>
      <w:pPr>
        <w:widowControl/>
      </w:pPr>
      <w:r>
        <w:t>2021年8月—2023年8月最终纳入3,563人，其中RA组255人、无关节炎组3,308人；曾患哮喘者分别为67人和532人，加权比例分别为23.93%和16.43%（表1、表2）。</w:t>
      </w:r>
    </w:p>
    <w:p>
      <w:pPr>
        <w:pStyle w:val="Heading2"/>
      </w:pPr>
      <w:r>
        <w:t>2.2 主要回归及亚组</w:t>
      </w:r>
    </w:p>
    <w:p>
      <w:pPr>
        <w:widowControl/>
      </w:pPr>
      <w:r>
        <w:t>疫情前M3的OR为2.27（1.91—2.70），最新时期为1.97（1.33—2.92）（表3）。两者均为正向关联，最新时期区间较宽。两时间集合实际设计自由度分别为163和15；其差异反映抽样设计支持，不能以总人数代替。</w:t>
      </w:r>
    </w:p>
    <w:p>
      <w:pPr>
        <w:widowControl/>
      </w:pPr>
      <w:r>
        <w:t>1999—2020年3月年龄和性别交互P值分别为0.057和0.614；年龄及PIR非线性调整后年龄交互P=0.065（表4及补充表）。年龄或性别差异均不能仅据单个亚组显著性判断。</w:t>
      </w:r>
    </w:p>
    <w:p>
      <w:pPr>
        <w:widowControl/>
      </w:pPr>
      <w:r>
        <w:t>2021年8月—2023年8月年龄和性别交互P值分别为0.252和0.455；年龄及PIR非线性调整后年龄交互P=0.254（表4及补充表）。年龄或性别差异均不能仅据单个亚组显著性判断。</w:t>
      </w:r>
    </w:p>
    <w:p>
      <w:pPr>
        <w:pStyle w:val="Heading2"/>
      </w:pPr>
      <w:r>
        <w:t>2.3 合并补充及时期差异</w:t>
      </w:r>
    </w:p>
    <w:p>
      <w:pPr>
        <w:widowControl/>
      </w:pPr>
      <w:r>
        <w:t>两时段合并共40,690人。P1的OR为2.25（1.92—2.64），P2为2.22（1.89—2.61）（表5）。线性及非线性调整下，最新时期相对于疫情前的OR比分别为0.85（0.56—1.28）及0.84（0.55—1.29），交互P值分别为0.430和0.421。这些区间未排除一定幅度的时期差异；合并估计保留补充地位。</w:t>
      </w:r>
    </w:p>
    <w:p>
      <w:pPr>
        <w:pStyle w:val="Heading2"/>
      </w:pPr>
      <w:r>
        <w:t>2.4 函数形式与完整病例选择</w:t>
      </w:r>
    </w:p>
    <w:p>
      <w:pPr>
        <w:widowControl/>
      </w:pPr>
      <w:r>
        <w:t>1999—2020年3月B1的OR为2.24（1.89—2.66），B4为2.24（1.89—2.66）；B1标准化比例差为11.53个百分点（95%CI 8.49—14.57）。预测完整病例概率范围为0.707—0.974；选择加权结果依赖明确假设，不证明选择偏倚已消除。</w:t>
      </w:r>
    </w:p>
    <w:p>
      <w:pPr>
        <w:widowControl/>
      </w:pPr>
      <w:r>
        <w:t>2021年8月—2023年8月B1的OR为1.92（1.24—2.96），B4为1.93（1.25—2.98）；B1标准化比例差为10.59个百分点（95%CI 2.47—18.72）。预测完整病例概率范围为0.711—0.907；选择加权结果依赖明确假设，不证明选择偏倚已消除。</w:t>
      </w:r>
    </w:p>
    <w:p>
      <w:pPr>
        <w:widowControl/>
      </w:pPr>
      <w:r>
        <w:t>模型数值资格及独立核验通过；稀疏类别和较宽区间仍保留。连续变量与各亚组的详细频数、缺失模式、共同支持和模型诊断均在汇总附件中提供。部分老年亚组样条基相关较高，等价正交基验证用于排除数值表示造成的差异，不用于删变量。</w:t>
      </w:r>
    </w:p>
    <w:p>
      <w:pPr>
        <w:pStyle w:val="Heading1"/>
      </w:pPr>
      <w:r>
        <w:t>3 讨论</w:t>
      </w:r>
    </w:p>
    <w:p>
      <w:pPr>
        <w:widowControl/>
      </w:pPr>
      <w:r>
        <w:t>更新后两个观测时期均支持自报RA与曾患哮喘的正向关联；主要估计对预设函数形式和选择权重处理相近。这为两病共存提供新的时期资料。它与病例对照及横断面文献方向相容</w:t>
      </w:r>
      <w:r>
        <w:rPr>
          <w:vertAlign w:val="superscript"/>
        </w:rPr>
        <w:t>[1,3]</w:t>
      </w:r>
      <w:r>
        <w:t>，但不能替代前瞻性证据；既往RA与新发哮喘关联不明确的纵向结果仍需纳入考虑</w:t>
      </w:r>
      <w:r>
        <w:rPr>
          <w:vertAlign w:val="superscript"/>
        </w:rPr>
        <w:t>[2]</w:t>
      </w:r>
      <w:r>
        <w:t>。</w:t>
      </w:r>
    </w:p>
    <w:p>
      <w:pPr>
        <w:widowControl/>
      </w:pPr>
      <w:r>
        <w:t>合并问题需要分别评价技术资格与科学解释。文件、疾病口径、权重及模型检查通过，说明本次预设混合样本参数可以计算。分时期估计方向一致、周期调整前后相近，有助于理解这一补充参数。但时期OR比的区间仍较宽，最新周期抽样自由度较低，不能用交互P值大于0.05证明关联稳定或两时期等效；疫情空档的分布始终未被观测</w:t>
      </w:r>
      <w:r>
        <w:rPr>
          <w:vertAlign w:val="superscript"/>
        </w:rPr>
        <w:t>[5,7]</w:t>
      </w:r>
      <w:r>
        <w:t>。</w:t>
      </w:r>
    </w:p>
    <w:p>
      <w:pPr>
        <w:widowControl/>
      </w:pPr>
      <w:r>
        <w:t>分析直接支持指定样本中的统计关联（direct evidence）。自报医生诊断是临床疾病的替代测量（proxy evidence），可能受到关节炎类型辨认、回忆及诊断机会影响。共同炎症、药物作用或免疫机制仅为可能解释（speculation），本研究未测定其作用。纵向研究中的不明确结果、时期区间允许的差异及稀疏亚组属于应保留的反向或不确定证据（counterevidence/uncertainty）。</w:t>
      </w:r>
    </w:p>
    <w:p>
      <w:pPr>
        <w:widowControl/>
      </w:pPr>
      <w:r>
        <w:t>首先，横断面资料无法确定先后顺序，OR不能表述为新发风险比或因果效应。其次，对照仅为明确无关节炎者，排除了其他类型及未知者，不能推广为RA对所有非RA的比较。两种疾病均未通过病历、血清学或肺功能逐例确诊，未测疾病活动度、治疗、就医频率等可造成残余混杂。</w:t>
      </w:r>
    </w:p>
    <w:p>
      <w:pPr>
        <w:widowControl/>
      </w:pPr>
      <w:r>
        <w:t>再次，完整病例可能具有选择性；选择概率模型只能评价给定可观察信息的一种解释。最新周期访问方式、抽样设计及应答情况改变，吸烟题提示方式与RA帮助说明存在措辞差别，即使字段编码协调，也不能排除测量差异。不同标准人口下的标准化比例差不可直接解释为时期变化。多项辅助检验未经多重性校正，亚组结果应审慎解释。</w:t>
      </w:r>
    </w:p>
    <w:p>
      <w:pPr>
        <w:widowControl/>
      </w:pPr>
      <w:r>
        <w:t>最后，合并补充代表已观测时段的特定混合人群，不能反映缺失疫情时段或2026年当前水平。结果来自美国成人，不能直接代表中国或宝安区；数据未包含中医证候或中医药干预，不能推断证型或治疗效果。后续应优先加强疾病确认及时间顺序研究，不以添加复杂方法替代这些证据。</w:t>
      </w:r>
    </w:p>
    <w:p>
      <w:pPr>
        <w:pStyle w:val="Heading1"/>
      </w:pPr>
      <w:r>
        <w:t>4 结论</w:t>
      </w:r>
    </w:p>
    <w:p>
      <w:pPr>
        <w:widowControl/>
      </w:pPr>
      <w:r>
        <w:t>在规定的完整病例及明确无关节炎对照口径下，疫情前与2021—2023年均观察到自报RA与曾患哮喘的正向横断面关联。预设合并分析可作为补充，但分时期结果和不确定性应同时报告；目前不能证明时期等效、因果关系或任何治疗获益。</w:t>
      </w:r>
    </w:p>
    <w:p>
      <w:pPr>
        <w:widowControl/>
      </w:pPr>
      <w:r>
        <w:rPr>
          <w:sz w:val="18"/>
        </w:rPr>
        <w:t>作者贡献、利益冲突、基金、伦理认定及代码公开存档：［待作者据实补齐并确认］。</w:t>
      </w:r>
    </w:p>
    <w:p>
      <w:pPr>
        <w:pStyle w:val="Heading1"/>
      </w:pPr>
      <w:r>
        <w:t>参考文献</w:t>
      </w:r>
    </w:p>
    <w:p>
      <w:pPr>
        <w:widowControl/>
      </w:pPr>
      <w:r>
        <w:rPr>
          <w:sz w:val="18"/>
        </w:rPr>
      </w:r>
      <w:r>
        <w:rPr>
          <w:sz w:val="18"/>
          <w:vertAlign w:val="superscript"/>
        </w:rPr>
        <w:t>[1]</w:t>
      </w:r>
      <w:r>
        <w:rPr>
          <w:sz w:val="18"/>
        </w:rPr>
        <w:t xml:space="preserve"> SHEEN Y H, ROLFES M C, WI C I, et al. Association of asthma with rheumatoid arthritis: a population-based case-control study[J]. J Allergy Clin Immunol Pract, 2018, 6(1): 219-226. DOI: 10.1016/j.jaip.2017.06.022.</w:t>
      </w:r>
    </w:p>
    <w:p>
      <w:pPr>
        <w:widowControl/>
      </w:pPr>
      <w:r>
        <w:rPr>
          <w:sz w:val="18"/>
        </w:rPr>
      </w:r>
      <w:r>
        <w:rPr>
          <w:sz w:val="18"/>
          <w:vertAlign w:val="superscript"/>
        </w:rPr>
        <w:t>[2]</w:t>
      </w:r>
      <w:r>
        <w:rPr>
          <w:sz w:val="18"/>
        </w:rPr>
        <w:t xml:space="preserve"> SPARKS J A, LIN T C, CAMARGO C A Jr, et al. Rheumatoid arthritis and risk of chronic obstructive pulmonary disease or asthma among women: a marginal structural model analysis in the Nurses’ Health Study[J]. Semin Arthritis Rheum, 2018, 47(5): 639-648. DOI: 10.1016/j.semarthrit.2017.09.005.</w:t>
      </w:r>
    </w:p>
    <w:p>
      <w:pPr>
        <w:widowControl/>
      </w:pPr>
      <w:r>
        <w:rPr>
          <w:sz w:val="18"/>
        </w:rPr>
      </w:r>
      <w:r>
        <w:rPr>
          <w:sz w:val="18"/>
          <w:vertAlign w:val="superscript"/>
        </w:rPr>
        <w:t>[3]</w:t>
      </w:r>
      <w:r>
        <w:rPr>
          <w:sz w:val="18"/>
        </w:rPr>
        <w:t xml:space="preserve"> KIM J G, KANG J, LEE J H, et al. Association of rheumatoid arthritis with bronchial asthma and asthma-related comorbidities: a population-based national surveillance study[J]. Front Med (Lausanne), 2023, 10: 1006290. DOI: 10.3389/fmed.2023.1006290.</w:t>
      </w:r>
    </w:p>
    <w:p>
      <w:pPr>
        <w:widowControl/>
      </w:pPr>
      <w:r>
        <w:rPr>
          <w:sz w:val="18"/>
        </w:rPr>
      </w:r>
      <w:r>
        <w:rPr>
          <w:sz w:val="18"/>
          <w:vertAlign w:val="superscript"/>
        </w:rPr>
        <w:t>[4]</w:t>
      </w:r>
      <w:r>
        <w:rPr>
          <w:sz w:val="18"/>
        </w:rPr>
        <w:t xml:space="preserve"> BALJET E, LUIJKS H, VAN DEN BEMT L, et al. Chronic comorbid conditions and asthma exacerbation occurrence in a general population sample[J]. NPJ Prim Care Respir Med, 2023, 33: 29. DOI: 10.1038/s41533-023-00350-x.</w:t>
      </w:r>
    </w:p>
    <w:p>
      <w:pPr>
        <w:widowControl/>
      </w:pPr>
      <w:r>
        <w:rPr>
          <w:sz w:val="18"/>
        </w:rPr>
      </w:r>
      <w:r>
        <w:rPr>
          <w:sz w:val="18"/>
          <w:vertAlign w:val="superscript"/>
        </w:rPr>
        <w:t>[5]</w:t>
      </w:r>
      <w:r>
        <w:rPr>
          <w:sz w:val="18"/>
        </w:rPr>
        <w:t xml:space="preserve"> CENTERS FOR DISEASE CONTROL AND PREVENTION. NHANES tutorial: weighting[EB/OL]. </w:t>
      </w:r>
      <w:r>
        <w:rPr>
          <w:sz w:val="18"/>
          <w:vertAlign w:val="superscript"/>
        </w:rPr>
        <w:t>[2026-10-08]</w:t>
      </w:r>
      <w:r>
        <w:rPr>
          <w:sz w:val="18"/>
        </w:rPr>
        <w:t>. https://wwwn.cdc.gov/nchs/nhanes/tutorials/weighting.aspx.</w:t>
      </w:r>
    </w:p>
    <w:p>
      <w:pPr>
        <w:widowControl/>
      </w:pPr>
      <w:r>
        <w:rPr>
          <w:sz w:val="18"/>
        </w:rPr>
      </w:r>
      <w:r>
        <w:rPr>
          <w:sz w:val="18"/>
          <w:vertAlign w:val="superscript"/>
        </w:rPr>
        <w:t>[6]</w:t>
      </w:r>
      <w:r>
        <w:rPr>
          <w:sz w:val="18"/>
        </w:rPr>
        <w:t xml:space="preserve"> CENTERS FOR DISEASE CONTROL AND PREVENTION. NHANES 2017–March 2020 prepandemic data[DB/OL]. </w:t>
      </w:r>
      <w:r>
        <w:rPr>
          <w:sz w:val="18"/>
          <w:vertAlign w:val="superscript"/>
        </w:rPr>
        <w:t>[2026-10-08]</w:t>
      </w:r>
      <w:r>
        <w:rPr>
          <w:sz w:val="18"/>
        </w:rPr>
        <w:t>. https://wwwn.cdc.gov/nchs/nhanes/continuousnhanes/default.aspx?Cycle=2017-2020.</w:t>
      </w:r>
    </w:p>
    <w:p>
      <w:pPr>
        <w:widowControl/>
      </w:pPr>
      <w:r>
        <w:rPr>
          <w:sz w:val="18"/>
        </w:rPr>
      </w:r>
      <w:r>
        <w:rPr>
          <w:sz w:val="18"/>
          <w:vertAlign w:val="superscript"/>
        </w:rPr>
        <w:t>[7]</w:t>
      </w:r>
      <w:r>
        <w:rPr>
          <w:sz w:val="18"/>
        </w:rPr>
        <w:t xml:space="preserve"> CENTERS FOR DISEASE CONTROL AND PREVENTION. Brief overview and analytic guidelines for NHANES August 2021–August 2023[EB/OL]. </w:t>
      </w:r>
      <w:r>
        <w:rPr>
          <w:sz w:val="18"/>
          <w:vertAlign w:val="superscript"/>
        </w:rPr>
        <w:t>[2026-10-08]</w:t>
      </w:r>
      <w:r>
        <w:rPr>
          <w:sz w:val="18"/>
        </w:rPr>
        <w:t>. https://wwwn.cdc.gov/nchs/nhanes/continuousnhanes/overviewbrief.aspx?Cycle=2021-2023.</w:t>
      </w:r>
    </w:p>
    <w:p>
      <w:pPr>
        <w:widowControl/>
      </w:pPr>
      <w:r>
        <w:rPr>
          <w:sz w:val="18"/>
        </w:rPr>
      </w:r>
      <w:r>
        <w:rPr>
          <w:sz w:val="18"/>
          <w:vertAlign w:val="superscript"/>
        </w:rPr>
        <w:t>[8]</w:t>
      </w:r>
      <w:r>
        <w:rPr>
          <w:sz w:val="18"/>
        </w:rPr>
        <w:t xml:space="preserve"> CENTERS FOR DISEASE CONTROL AND PREVENTION. Ethics review board approval[EB/OL]. (2026-03-24)</w:t>
      </w:r>
      <w:r>
        <w:rPr>
          <w:sz w:val="18"/>
          <w:vertAlign w:val="superscript"/>
        </w:rPr>
        <w:t>[2026-09-29]</w:t>
      </w:r>
      <w:r>
        <w:rPr>
          <w:sz w:val="18"/>
        </w:rPr>
        <w:t>. https://www.cdc.gov/nchs/nhanes/about/erb.html.</w:t>
      </w:r>
    </w:p>
    <w:p>
      <w:pPr>
        <w:widowControl/>
      </w:pPr>
      <w:r>
        <w:rPr>
          <w:sz w:val="18"/>
        </w:rPr>
      </w:r>
      <w:r>
        <w:rPr>
          <w:sz w:val="18"/>
          <w:vertAlign w:val="superscript"/>
        </w:rPr>
        <w:t>[9]</w:t>
      </w:r>
      <w:r>
        <w:rPr>
          <w:sz w:val="18"/>
        </w:rPr>
        <w:t xml:space="preserve"> CENTERS FOR DISEASE CONTROL AND PREVENTION. Adult BMI categories[EB/OL]. </w:t>
      </w:r>
      <w:r>
        <w:rPr>
          <w:sz w:val="18"/>
          <w:vertAlign w:val="superscript"/>
        </w:rPr>
        <w:t>[2026-09-29]</w:t>
      </w:r>
      <w:r>
        <w:rPr>
          <w:sz w:val="18"/>
        </w:rPr>
        <w:t>. https://www.cdc.gov/bmi/adult-calculator/bmi-categories.html.</w:t>
      </w:r>
    </w:p>
    <w:p>
      <w:pPr>
        <w:widowControl/>
      </w:pPr>
      <w:r>
        <w:rPr>
          <w:sz w:val="18"/>
        </w:rPr>
      </w:r>
      <w:r>
        <w:rPr>
          <w:sz w:val="18"/>
          <w:vertAlign w:val="superscript"/>
        </w:rPr>
        <w:t>[10]</w:t>
      </w:r>
      <w:r>
        <w:rPr>
          <w:sz w:val="18"/>
        </w:rPr>
        <w:t xml:space="preserve"> CENTERS FOR DISEASE CONTROL AND PREVENTION. NHANES tutorial: variance estimation[EB/OL]. </w:t>
      </w:r>
      <w:r>
        <w:rPr>
          <w:sz w:val="18"/>
          <w:vertAlign w:val="superscript"/>
        </w:rPr>
        <w:t>[2026-09-29]</w:t>
      </w:r>
      <w:r>
        <w:rPr>
          <w:sz w:val="18"/>
        </w:rPr>
        <w:t>. https://wwwn.cdc.gov/nchs/nhanes/tutorials/varianceestimation.aspx.</w:t>
      </w:r>
    </w:p>
    <w:p>
      <w:pPr>
        <w:widowControl/>
      </w:pPr>
      <w:r>
        <w:rPr>
          <w:sz w:val="18"/>
        </w:rPr>
      </w:r>
      <w:r>
        <w:rPr>
          <w:sz w:val="18"/>
          <w:vertAlign w:val="superscript"/>
        </w:rPr>
        <w:t>[11]</w:t>
      </w:r>
      <w:r>
        <w:rPr>
          <w:sz w:val="18"/>
        </w:rPr>
        <w:t xml:space="preserve"> LUMLEY T. survey: analysis of complex survey samples[CP/OL]. </w:t>
      </w:r>
      <w:r>
        <w:rPr>
          <w:sz w:val="18"/>
          <w:vertAlign w:val="superscript"/>
        </w:rPr>
        <w:t>[2026-09-29]</w:t>
      </w:r>
      <w:r>
        <w:rPr>
          <w:sz w:val="18"/>
        </w:rPr>
        <w:t>. https://cran.r-project.org/web/packages/survey/survey.pdf.</w:t>
      </w:r>
    </w:p>
    <w:p>
      <w:pPr>
        <w:pStyle w:val="Heading1"/>
        <w:pageBreakBefore/>
      </w:pPr>
      <w:r>
        <w:t>图1 1999—2020年3月样本筛选流程</w:t>
      </w:r>
    </w:p>
    <w:p>
      <w:pPr>
        <w:widowControl/>
      </w:pPr>
      <w:r>
        <w:rPr>
          <w:sz w:val="18"/>
        </w:rPr>
        <w:t>Figure 1 Participant selection in 1999–March 2020</w:t>
      </w:r>
    </w:p>
    <w:p>
      <w:pPr>
        <w:jc w:val="center"/>
      </w:pPr>
      <w:r>
        <w:drawing>
          <wp:inline xmlns:a="http://schemas.openxmlformats.org/drawingml/2006/main" xmlns:pic="http://schemas.openxmlformats.org/drawingml/2006/picture">
            <wp:extent cx="5400000" cy="6557143"/>
            <wp:docPr id="1" name="Picture 1"/>
            <wp:cNvGraphicFramePr>
              <a:graphicFrameLocks noChangeAspect="1"/>
            </wp:cNvGraphicFramePr>
            <a:graphic>
              <a:graphicData uri="http://schemas.openxmlformats.org/drawingml/2006/picture">
                <pic:pic>
                  <pic:nvPicPr>
                    <pic:cNvPr id="0" name="sample_flow.png"/>
                    <pic:cNvPicPr/>
                  </pic:nvPicPr>
                  <pic:blipFill>
                    <a:blip r:embed="rId10"/>
                    <a:stretch>
                      <a:fillRect/>
                    </a:stretch>
                  </pic:blipFill>
                  <pic:spPr>
                    <a:xfrm>
                      <a:off x="0" y="0"/>
                      <a:ext cx="5400000" cy="6557143"/>
                    </a:xfrm>
                    <a:prstGeom prst="rect"/>
                  </pic:spPr>
                </pic:pic>
              </a:graphicData>
            </a:graphic>
          </wp:inline>
        </w:drawing>
      </w:r>
    </w:p>
    <w:p>
      <w:pPr>
        <w:widowControl/>
      </w:pPr>
      <w:r>
        <w:rPr>
          <w:sz w:val="18"/>
        </w:rPr>
        <w:t>注：顺序排除人数避免重复计数；疾病未知、其他关节炎及各项协变量缺失的细分人数见同名样本筛选CSV。</w:t>
      </w:r>
    </w:p>
    <w:p>
      <w:pPr>
        <w:pStyle w:val="Heading1"/>
        <w:pageBreakBefore/>
      </w:pPr>
      <w:r>
        <w:t>图2 2021年8月—2023年8月样本筛选流程</w:t>
      </w:r>
    </w:p>
    <w:p>
      <w:pPr>
        <w:widowControl/>
      </w:pPr>
      <w:r>
        <w:rPr>
          <w:sz w:val="18"/>
        </w:rPr>
        <w:t>Figure 2 Participant selection in August 2021–August 2023</w:t>
      </w:r>
    </w:p>
    <w:p>
      <w:pPr>
        <w:jc w:val="center"/>
      </w:pPr>
      <w:r>
        <w:drawing>
          <wp:inline xmlns:a="http://schemas.openxmlformats.org/drawingml/2006/main" xmlns:pic="http://schemas.openxmlformats.org/drawingml/2006/picture">
            <wp:extent cx="5400000" cy="6557143"/>
            <wp:docPr id="2" name="Picture 2"/>
            <wp:cNvGraphicFramePr>
              <a:graphicFrameLocks noChangeAspect="1"/>
            </wp:cNvGraphicFramePr>
            <a:graphic>
              <a:graphicData uri="http://schemas.openxmlformats.org/drawingml/2006/picture">
                <pic:pic>
                  <pic:nvPicPr>
                    <pic:cNvPr id="0" name="sample_flow.png"/>
                    <pic:cNvPicPr/>
                  </pic:nvPicPr>
                  <pic:blipFill>
                    <a:blip r:embed="rId11"/>
                    <a:stretch>
                      <a:fillRect/>
                    </a:stretch>
                  </pic:blipFill>
                  <pic:spPr>
                    <a:xfrm>
                      <a:off x="0" y="0"/>
                      <a:ext cx="5400000" cy="6557143"/>
                    </a:xfrm>
                    <a:prstGeom prst="rect"/>
                  </pic:spPr>
                </pic:pic>
              </a:graphicData>
            </a:graphic>
          </wp:inline>
        </w:drawing>
      </w:r>
    </w:p>
    <w:p>
      <w:pPr>
        <w:widowControl/>
      </w:pPr>
      <w:r>
        <w:rPr>
          <w:sz w:val="18"/>
        </w:rPr>
        <w:t>注：顺序排除人数避免重复计数；疾病未知、其他关节炎及各项协变量缺失的细分人数见同名样本筛选CSV。</w:t>
      </w:r>
    </w:p>
    <w:p>
      <w:pPr>
        <w:pStyle w:val="Heading1"/>
        <w:pageBreakBefore/>
      </w:pPr>
      <w:r>
        <w:t>表1 1999—2020年3月人群特征</w:t>
      </w:r>
    </w:p>
    <w:p>
      <w:pPr>
        <w:widowControl/>
      </w:pPr>
      <w:r>
        <w:rPr>
          <w:sz w:val="18"/>
        </w:rPr>
        <w:t>Table 1 Participant characteristics by arthritis status</w:t>
      </w:r>
    </w:p>
    <w:tbl>
      <w:tblPr>
        <w:tblW w:type="auto" w:w="0"/>
        <w:jc w:val="center"/>
        <w:tblLayout w:type="fixed"/>
        <w:tblLook w:firstColumn="1" w:firstRow="1" w:lastColumn="0" w:lastRow="0" w:noHBand="0" w:noVBand="1" w:val="04A0"/>
      </w:tblPr>
      <w:tblGrid>
        <w:gridCol w:w="3458"/>
        <w:gridCol w:w="2041"/>
        <w:gridCol w:w="2041"/>
        <w:gridCol w:w="2098"/>
      </w:tblGrid>
      <w:tr>
        <w:trPr>
          <w:cantSplit/>
          <w:tblHeader/>
        </w:trPr>
        <w:tc>
          <w:tcPr>
            <w:tcW w:type="dxa" w:w="345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特征</w:t>
            </w:r>
          </w:p>
        </w:tc>
        <w:tc>
          <w:tcPr>
            <w:tcW w:type="dxa" w:w="204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总体</w:t>
            </w:r>
          </w:p>
        </w:tc>
        <w:tc>
          <w:tcPr>
            <w:tcW w:type="dxa" w:w="204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无关节炎</w:t>
            </w:r>
          </w:p>
        </w:tc>
        <w:tc>
          <w:tcPr>
            <w:tcW w:type="dxa" w:w="209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RA</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42.55（0.16）</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41.90（0.16）</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55.16（0.38）</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28.44（0.07）</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28.32（0.07）</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30.72（0.23）</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3.03（0.03）</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3.05（0.03）</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2.55（0.05）</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20～39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16,349（46.35）</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16,123（48.04）</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226（13.60）</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40～59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12,788（38.55）</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11,917（38.14）</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871（46.46）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60～79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7,990（15.10）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6,715（13.82）</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1,275（39.95）</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 男性</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18,527（50.58）</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17,541（51.00）</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986（42.46）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 女性</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18,600（49.42）</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17,214（49.00）</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1,386（57.54）</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非西班牙裔白人</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14,766（65.59）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13,848（65.56）</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918（66.06）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墨西哥裔</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6,930（9.12）</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6,563（9.26）</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367（6.38）</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其他西班牙裔</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3,175（6.10）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2,972（6.15）</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203（5.23）</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非西班牙裔黑人</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8,337（11.74）</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7,578（11.46）</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759（17.08）</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其他及多种族</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3,919（7.46）</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3,794（7.57）</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125（5.25）</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大学毕业及以上</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8,675（29.91）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8,409（30.71）</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266（14.39）</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低于九年级</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3,797（4.98）</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3,421（4.79）</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376（8.55）</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九至十一年级</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5,327（10.54）</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4,859（10.26）</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468（15.96）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高中或同等学历</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8,421（23.43）</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7,839（23.15）</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582（28.74）</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部分大学或副学士</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10,907（31.14）</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10,227（31.08）</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680（32.37）</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 ＜1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7,814（14.41）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7,178（14.10）</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636（20.34）</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 ≥1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29,313（85.59）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27,577（85.90）</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1,736（79.66）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＜18.5</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619（1.75）</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590（1.78）</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29（1.21）</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18.5～＜25</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11,006（31.31）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10,527（31.77）</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479（22.38）</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25～＜30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12,478（33.39）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11,784（33.66）</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694（28.13）</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≥30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13,024（33.55）</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11,854（32.78）</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1,170（48.28）</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吸烟状况 从未</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21,108（55.99）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20,072（56.77）</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1,036（40.99）</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吸烟状况 既往</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7,819（21.93）</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7,100（21.44）</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719（31.36）</w:t>
            </w:r>
          </w:p>
        </w:tc>
      </w:tr>
      <w:tr>
        <w:trPr>
          <w:cantSplit/>
        </w:trPr>
        <w:tc>
          <w:tcPr>
            <w:tcW w:type="dxa" w:w="345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吸烟状况 当前</w:t>
            </w:r>
          </w:p>
        </w:tc>
        <w:tc>
          <w:tcPr>
            <w:tcW w:type="dxa" w:w="204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8,200（22.08）</w:t>
            </w:r>
          </w:p>
        </w:tc>
        <w:tc>
          <w:tcPr>
            <w:tcW w:type="dxa" w:w="204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7,583（21.79）</w:t>
            </w:r>
          </w:p>
        </w:tc>
        <w:tc>
          <w:tcPr>
            <w:tcW w:type="dxa" w:w="209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617（27.65）</w:t>
            </w:r>
          </w:p>
        </w:tc>
      </w:tr>
    </w:tbl>
    <w:p>
      <w:pPr>
        <w:widowControl/>
      </w:pPr>
      <w:r>
        <w:rPr>
          <w:sz w:val="18"/>
        </w:rPr>
        <w:t>注：连续量为加权均值（标准误），分类量为实际人数（加权百分比）；表内RA占比不代表全部美国成人RA患病率。两时期分别列示。</w:t>
      </w:r>
    </w:p>
    <w:p>
      <w:pPr>
        <w:pStyle w:val="Heading1"/>
        <w:pageBreakBefore/>
      </w:pPr>
      <w:r>
        <w:t>表1 2021年8月—2023年8月人群特征</w:t>
      </w:r>
    </w:p>
    <w:p>
      <w:pPr>
        <w:widowControl/>
      </w:pPr>
      <w:r>
        <w:rPr>
          <w:sz w:val="18"/>
        </w:rPr>
        <w:t>Table 1 Participant characteristics by arthritis status</w:t>
      </w:r>
    </w:p>
    <w:tbl>
      <w:tblPr>
        <w:tblW w:type="auto" w:w="0"/>
        <w:jc w:val="center"/>
        <w:tblLayout w:type="fixed"/>
        <w:tblLook w:firstColumn="1" w:firstRow="1" w:lastColumn="0" w:lastRow="0" w:noHBand="0" w:noVBand="1" w:val="04A0"/>
      </w:tblPr>
      <w:tblGrid>
        <w:gridCol w:w="3458"/>
        <w:gridCol w:w="2041"/>
        <w:gridCol w:w="2041"/>
        <w:gridCol w:w="2098"/>
      </w:tblGrid>
      <w:tr>
        <w:trPr>
          <w:cantSplit/>
          <w:tblHeader/>
        </w:trPr>
        <w:tc>
          <w:tcPr>
            <w:tcW w:type="dxa" w:w="345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特征</w:t>
            </w:r>
          </w:p>
        </w:tc>
        <w:tc>
          <w:tcPr>
            <w:tcW w:type="dxa" w:w="204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总体</w:t>
            </w:r>
          </w:p>
        </w:tc>
        <w:tc>
          <w:tcPr>
            <w:tcW w:type="dxa" w:w="204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无关节炎</w:t>
            </w:r>
          </w:p>
        </w:tc>
        <w:tc>
          <w:tcPr>
            <w:tcW w:type="dxa" w:w="209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RA</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43.97（0.44）</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43.17（0.46）</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57.56（1.10）</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29.26（0.33）</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29.11（0.33）</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31.90（0.45）</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3.04（0.11）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3.07（0.11）</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2.58（0.16）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20～39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1,254（44.79）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1,237（46.69）</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17（12.66）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40～59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1,146（35.28）</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1,068（35.05）</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78（39.27）</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60～79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1,163（19.93）</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1,003（18.27）</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160（48.07）</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 男性</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1,665（50.80）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1,562（51.31）</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103（42.28）</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 女性</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1,898（49.20）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1,746（48.69）</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152（57.72）</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非西班牙裔白人</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1,962（58.02）</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1,842（58.32）</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120（53.01）</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墨西哥裔</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287（8.09）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264（8.07）</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23（8.36）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其他西班牙裔</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393（10.05）</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361（10.05）</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32（10.00）</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非西班牙裔黑人</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460（10.92）</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410（10.54）</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50（17.47）</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其他及多种族</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461（12.92）</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431（13.02）</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30（11.16）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大学毕业及以上</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1,338（36.51）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1,297（37.58）</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41（18.41）</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低于九年级</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153（3.22）</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133（3.13）</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20（4.73）</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九至十一年级</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275（6.11）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237（5.88）</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38（10.06）</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高中或同等学历</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745（25.50）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662（24.62）</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83（40.31）</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部分大学或副学士</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1,052（28.66）</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979（28.79）</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73（26.49）</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 ＜1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588（13.98）</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521（13.63）</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67（19.89）</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 ≥1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2,975（86.02）</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2,787（86.37）</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188（80.11）</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＜18.5</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48（1.61）</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46（1.62）</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2（1.41）</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18.5～＜25</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962（27.29）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928（28.07）</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34（14.19）</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25～＜30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1,192（33.60）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1,111（33.69）</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81（32.17）</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≥30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1,361（37.49）</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1,223（36.62）</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138（52.23）</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吸烟状况 从未</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2,173（64.60）</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2,061（65.68）</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112（46.38）</w:t>
            </w:r>
          </w:p>
        </w:tc>
      </w:tr>
      <w:tr>
        <w:trPr>
          <w:cantSplit/>
        </w:trPr>
        <w:tc>
          <w:tcPr>
            <w:tcW w:type="dxa" w:w="345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吸烟状况 既往</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820（20.26）</w:t>
            </w:r>
          </w:p>
        </w:tc>
        <w:tc>
          <w:tcPr>
            <w:tcW w:type="dxa" w:w="204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737（19.57）</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83（31.98）</w:t>
            </w:r>
          </w:p>
        </w:tc>
      </w:tr>
      <w:tr>
        <w:trPr>
          <w:cantSplit/>
        </w:trPr>
        <w:tc>
          <w:tcPr>
            <w:tcW w:type="dxa" w:w="345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吸烟状况 当前</w:t>
            </w:r>
          </w:p>
        </w:tc>
        <w:tc>
          <w:tcPr>
            <w:tcW w:type="dxa" w:w="204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570（15.14）</w:t>
            </w:r>
          </w:p>
        </w:tc>
        <w:tc>
          <w:tcPr>
            <w:tcW w:type="dxa" w:w="204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510（14.76）</w:t>
            </w:r>
          </w:p>
        </w:tc>
        <w:tc>
          <w:tcPr>
            <w:tcW w:type="dxa" w:w="209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60（21.64）</w:t>
            </w:r>
          </w:p>
        </w:tc>
      </w:tr>
    </w:tbl>
    <w:p>
      <w:pPr>
        <w:widowControl/>
      </w:pPr>
      <w:r>
        <w:rPr>
          <w:sz w:val="18"/>
        </w:rPr>
        <w:t>注：连续量为加权均值（标准误），分类量为实际人数（加权百分比）；表内RA占比不代表全部美国成人RA患病率。两时期分别列示。</w:t>
      </w:r>
    </w:p>
    <w:p>
      <w:pPr>
        <w:pStyle w:val="Heading1"/>
        <w:pageBreakBefore/>
      </w:pPr>
      <w:r>
        <w:t>表2 各组曾患哮喘加权比例</w:t>
      </w:r>
    </w:p>
    <w:p>
      <w:pPr>
        <w:widowControl/>
      </w:pPr>
      <w:r>
        <w:rPr>
          <w:sz w:val="18"/>
        </w:rPr>
        <w:t>Table 2 Weighted proportions of ever-diagnosed asthma</w:t>
      </w:r>
    </w:p>
    <w:tbl>
      <w:tblPr>
        <w:tblW w:type="auto" w:w="0"/>
        <w:jc w:val="center"/>
        <w:tblLayout w:type="fixed"/>
        <w:tblLook w:firstColumn="1" w:firstRow="1" w:lastColumn="0" w:lastRow="0" w:noHBand="0" w:noVBand="1" w:val="04A0"/>
      </w:tblPr>
      <w:tblGrid>
        <w:gridCol w:w="2494"/>
        <w:gridCol w:w="1247"/>
        <w:gridCol w:w="2268"/>
        <w:gridCol w:w="3628"/>
      </w:tblGrid>
      <w:tr>
        <w:trPr>
          <w:cantSplit/>
          <w:tblHeader/>
        </w:trPr>
        <w:tc>
          <w:tcPr>
            <w:tcW w:type="dxa" w:w="2494"/>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9"/>
              </w:rPr>
              <w:t>时期</w:t>
            </w:r>
          </w:p>
        </w:tc>
        <w:tc>
          <w:tcPr>
            <w:tcW w:type="dxa" w:w="1247"/>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组别</w:t>
            </w:r>
          </w:p>
        </w:tc>
        <w:tc>
          <w:tcPr>
            <w:tcW w:type="dxa" w:w="226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病例数/人数</w:t>
            </w:r>
          </w:p>
        </w:tc>
        <w:tc>
          <w:tcPr>
            <w:tcW w:type="dxa" w:w="362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加权比例及95%CI/%</w:t>
            </w:r>
          </w:p>
        </w:tc>
      </w:tr>
      <w:tr>
        <w:trPr>
          <w:cantSplit/>
        </w:trPr>
        <w:tc>
          <w:tcPr>
            <w:tcW w:type="dxa" w:w="249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1999—2020年3月</w:t>
            </w:r>
          </w:p>
        </w:tc>
        <w:tc>
          <w:tcPr>
            <w:tcW w:type="dxa" w:w="124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总体</w:t>
            </w:r>
          </w:p>
        </w:tc>
        <w:tc>
          <w:tcPr>
            <w:tcW w:type="dxa" w:w="226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4,697/37,127</w:t>
            </w:r>
          </w:p>
        </w:tc>
        <w:tc>
          <w:tcPr>
            <w:tcW w:type="dxa" w:w="362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13.23（12.72—13.76）</w:t>
            </w:r>
          </w:p>
        </w:tc>
      </w:tr>
      <w:tr>
        <w:trPr>
          <w:cantSplit/>
        </w:trPr>
        <w:tc>
          <w:tcPr>
            <w:tcW w:type="dxa" w:w="249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1999—2020年3月</w:t>
            </w:r>
          </w:p>
        </w:tc>
        <w:tc>
          <w:tcPr>
            <w:tcW w:type="dxa" w:w="124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无关节炎</w:t>
            </w:r>
          </w:p>
        </w:tc>
        <w:tc>
          <w:tcPr>
            <w:tcW w:type="dxa" w:w="226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4,204/34,755</w:t>
            </w:r>
          </w:p>
        </w:tc>
        <w:tc>
          <w:tcPr>
            <w:tcW w:type="dxa" w:w="362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12.77（12.27—13.29）</w:t>
            </w:r>
          </w:p>
        </w:tc>
      </w:tr>
      <w:tr>
        <w:trPr>
          <w:cantSplit/>
        </w:trPr>
        <w:tc>
          <w:tcPr>
            <w:tcW w:type="dxa" w:w="249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1999—2020年3月</w:t>
            </w:r>
          </w:p>
        </w:tc>
        <w:tc>
          <w:tcPr>
            <w:tcW w:type="dxa" w:w="124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RA</w:t>
            </w:r>
          </w:p>
        </w:tc>
        <w:tc>
          <w:tcPr>
            <w:tcW w:type="dxa" w:w="226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493/2,372</w:t>
            </w:r>
          </w:p>
        </w:tc>
        <w:tc>
          <w:tcPr>
            <w:tcW w:type="dxa" w:w="362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22.23（19.63—25.07）</w:t>
            </w:r>
          </w:p>
        </w:tc>
      </w:tr>
      <w:tr>
        <w:trPr>
          <w:cantSplit/>
        </w:trPr>
        <w:tc>
          <w:tcPr>
            <w:tcW w:type="dxa" w:w="249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2021年8月—2023年8月</w:t>
            </w:r>
          </w:p>
        </w:tc>
        <w:tc>
          <w:tcPr>
            <w:tcW w:type="dxa" w:w="124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总体</w:t>
            </w:r>
          </w:p>
        </w:tc>
        <w:tc>
          <w:tcPr>
            <w:tcW w:type="dxa" w:w="226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599/3,563</w:t>
            </w:r>
          </w:p>
        </w:tc>
        <w:tc>
          <w:tcPr>
            <w:tcW w:type="dxa" w:w="362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16.84（15.04—18.82）</w:t>
            </w:r>
          </w:p>
        </w:tc>
      </w:tr>
      <w:tr>
        <w:trPr>
          <w:cantSplit/>
        </w:trPr>
        <w:tc>
          <w:tcPr>
            <w:tcW w:type="dxa" w:w="249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2021年8月—2023年8月</w:t>
            </w:r>
          </w:p>
        </w:tc>
        <w:tc>
          <w:tcPr>
            <w:tcW w:type="dxa" w:w="124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无关节炎</w:t>
            </w:r>
          </w:p>
        </w:tc>
        <w:tc>
          <w:tcPr>
            <w:tcW w:type="dxa" w:w="226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532/3,308</w:t>
            </w:r>
          </w:p>
        </w:tc>
        <w:tc>
          <w:tcPr>
            <w:tcW w:type="dxa" w:w="362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16.43（14.57—18.46）</w:t>
            </w:r>
          </w:p>
        </w:tc>
      </w:tr>
      <w:tr>
        <w:trPr>
          <w:cantSplit/>
        </w:trPr>
        <w:tc>
          <w:tcPr>
            <w:tcW w:type="dxa" w:w="2494"/>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9"/>
              </w:rPr>
              <w:t>2021年8月—2023年8月</w:t>
            </w:r>
          </w:p>
        </w:tc>
        <w:tc>
          <w:tcPr>
            <w:tcW w:type="dxa" w:w="1247"/>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RA</w:t>
            </w:r>
          </w:p>
        </w:tc>
        <w:tc>
          <w:tcPr>
            <w:tcW w:type="dxa" w:w="226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67/255</w:t>
            </w:r>
          </w:p>
        </w:tc>
        <w:tc>
          <w:tcPr>
            <w:tcW w:type="dxa" w:w="362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23.93（17.65—31.58）</w:t>
            </w:r>
          </w:p>
        </w:tc>
      </w:tr>
    </w:tbl>
    <w:p>
      <w:pPr>
        <w:widowControl/>
      </w:pPr>
      <w:r>
        <w:rPr>
          <w:sz w:val="18"/>
        </w:rPr>
        <w:t>注：采用复杂抽样logit区间，实际人数与加权比例分别报告。</w:t>
      </w:r>
    </w:p>
    <w:p>
      <w:pPr>
        <w:pStyle w:val="Heading1"/>
      </w:pPr>
      <w:r>
        <w:t>表3 预设四模型回归结果</w:t>
      </w:r>
    </w:p>
    <w:p>
      <w:pPr>
        <w:widowControl/>
      </w:pPr>
      <w:r>
        <w:rPr>
          <w:sz w:val="18"/>
        </w:rPr>
        <w:t>Table 3 Prespecified survey-weighted logistic models</w:t>
      </w:r>
    </w:p>
    <w:tbl>
      <w:tblPr>
        <w:tblW w:type="auto" w:w="0"/>
        <w:jc w:val="center"/>
        <w:tblLayout w:type="fixed"/>
        <w:tblLook w:firstColumn="1" w:firstRow="1" w:lastColumn="0" w:lastRow="0" w:noHBand="0" w:noVBand="1" w:val="04A0"/>
      </w:tblPr>
      <w:tblGrid>
        <w:gridCol w:w="2438"/>
        <w:gridCol w:w="737"/>
        <w:gridCol w:w="1191"/>
        <w:gridCol w:w="3515"/>
        <w:gridCol w:w="1757"/>
      </w:tblGrid>
      <w:tr>
        <w:trPr>
          <w:cantSplit/>
          <w:tblHeader/>
        </w:trPr>
        <w:tc>
          <w:tcPr>
            <w:tcW w:type="dxa" w:w="243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时期</w:t>
            </w:r>
          </w:p>
        </w:tc>
        <w:tc>
          <w:tcPr>
            <w:tcW w:type="dxa" w:w="737"/>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模型</w:t>
            </w:r>
          </w:p>
        </w:tc>
        <w:tc>
          <w:tcPr>
            <w:tcW w:type="dxa" w:w="119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人数</w:t>
            </w:r>
          </w:p>
        </w:tc>
        <w:tc>
          <w:tcPr>
            <w:tcW w:type="dxa" w:w="351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OR（95%CI）</w:t>
            </w:r>
          </w:p>
        </w:tc>
        <w:tc>
          <w:tcPr>
            <w:tcW w:type="dxa" w:w="1757"/>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P值</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1999—2020年3月</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M0</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37,127</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1.95（1.67—2.29）</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1999—2020年3月</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M1</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37,127</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2.43（2.05—2.89）</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1999—2020年3月</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M2</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37,127</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2.39（2.02—2.84）</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1999—2020年3月</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M3</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37,127</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2.27（1.91—2.70）</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2021年8月—2023年8月</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M0</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3,563</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1.60（1.05—2.43）</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0.030</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2021年8月—2023年8月</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M1</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3,563</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2.08（1.41—3.07）</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2021年8月—2023年8月</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M2</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3,563</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2.09（1.43—3.05）</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2021年8月—2023年8月</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M3</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3,563</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1.97（1.33—2.92）</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0.002</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两时段合并补充</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M0</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40,690</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1.92（1.65—2.22）</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两时段合并补充</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M1</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40,690</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2.40（2.05—2.81）</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两时段合并补充</w:t>
            </w:r>
          </w:p>
        </w:tc>
        <w:tc>
          <w:tcPr>
            <w:tcW w:type="dxa" w:w="73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M2</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40,690</w:t>
            </w:r>
          </w:p>
        </w:tc>
        <w:tc>
          <w:tcPr>
            <w:tcW w:type="dxa" w:w="351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2.37（2.02—2.77）</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两时段合并补充</w:t>
            </w:r>
          </w:p>
        </w:tc>
        <w:tc>
          <w:tcPr>
            <w:tcW w:type="dxa" w:w="737"/>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M3</w:t>
            </w:r>
          </w:p>
        </w:tc>
        <w:tc>
          <w:tcPr>
            <w:tcW w:type="dxa" w:w="119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40,690</w:t>
            </w:r>
          </w:p>
        </w:tc>
        <w:tc>
          <w:tcPr>
            <w:tcW w:type="dxa" w:w="351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2.25（1.92—2.64）</w:t>
            </w:r>
          </w:p>
        </w:tc>
        <w:tc>
          <w:tcPr>
            <w:tcW w:type="dxa" w:w="1757"/>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&lt;0.001</w:t>
            </w:r>
          </w:p>
        </w:tc>
      </w:tr>
    </w:tbl>
    <w:p>
      <w:pPr>
        <w:widowControl/>
      </w:pPr>
      <w:r>
        <w:rPr>
          <w:sz w:val="18"/>
        </w:rPr>
        <w:t>注：同一时期内四模型样本一致；M0至M3调整顺序见方法。合并四模型均为补充，周期调整见表5。</w:t>
      </w:r>
    </w:p>
    <w:p>
      <w:pPr>
        <w:pStyle w:val="Heading1"/>
        <w:pageBreakBefore/>
      </w:pPr>
      <w:r>
        <w:t>表4 年龄与性别亚组</w:t>
      </w:r>
    </w:p>
    <w:p>
      <w:pPr>
        <w:widowControl/>
      </w:pPr>
      <w:r>
        <w:rPr>
          <w:sz w:val="18"/>
        </w:rPr>
        <w:t>Table 4 Prespecified age and sex subgroups</w:t>
      </w:r>
    </w:p>
    <w:tbl>
      <w:tblPr>
        <w:tblW w:type="auto" w:w="0"/>
        <w:jc w:val="center"/>
        <w:tblLayout w:type="fixed"/>
        <w:tblLook w:firstColumn="1" w:firstRow="1" w:lastColumn="0" w:lastRow="0" w:noHBand="0" w:noVBand="1" w:val="04A0"/>
      </w:tblPr>
      <w:tblGrid>
        <w:gridCol w:w="2438"/>
        <w:gridCol w:w="1191"/>
        <w:gridCol w:w="1191"/>
        <w:gridCol w:w="3061"/>
        <w:gridCol w:w="1757"/>
      </w:tblGrid>
      <w:tr>
        <w:trPr>
          <w:cantSplit/>
          <w:tblHeader/>
        </w:trPr>
        <w:tc>
          <w:tcPr>
            <w:tcW w:type="dxa" w:w="243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时期</w:t>
            </w:r>
          </w:p>
        </w:tc>
        <w:tc>
          <w:tcPr>
            <w:tcW w:type="dxa" w:w="119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亚组</w:t>
            </w:r>
          </w:p>
        </w:tc>
        <w:tc>
          <w:tcPr>
            <w:tcW w:type="dxa" w:w="119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人数</w:t>
            </w:r>
          </w:p>
        </w:tc>
        <w:tc>
          <w:tcPr>
            <w:tcW w:type="dxa" w:w="306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OR（95%CI）</w:t>
            </w:r>
          </w:p>
        </w:tc>
        <w:tc>
          <w:tcPr>
            <w:tcW w:type="dxa" w:w="1757"/>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P值</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1999—2020年3月</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20～39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16,349</w:t>
            </w:r>
          </w:p>
        </w:tc>
        <w:tc>
          <w:tcPr>
            <w:tcW w:type="dxa" w:w="306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2.36（1.61—3.47）</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1999—2020年3月</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40～59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12,788</w:t>
            </w:r>
          </w:p>
        </w:tc>
        <w:tc>
          <w:tcPr>
            <w:tcW w:type="dxa" w:w="306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2.50（1.96—3.18）</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1999—2020年3月</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60～79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7,990</w:t>
            </w:r>
          </w:p>
        </w:tc>
        <w:tc>
          <w:tcPr>
            <w:tcW w:type="dxa" w:w="306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1.72（1.33—2.22）</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1999—2020年3月</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男性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18,527</w:t>
            </w:r>
          </w:p>
        </w:tc>
        <w:tc>
          <w:tcPr>
            <w:tcW w:type="dxa" w:w="306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2.39（1.82—3.14）</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1999—2020年3月</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女性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18,600</w:t>
            </w:r>
          </w:p>
        </w:tc>
        <w:tc>
          <w:tcPr>
            <w:tcW w:type="dxa" w:w="306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2.17（1.79—2.63）</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2021年8月—2023年8月</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20～39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1,254</w:t>
            </w:r>
          </w:p>
        </w:tc>
        <w:tc>
          <w:tcPr>
            <w:tcW w:type="dxa" w:w="306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2.24（0.59—8.47）</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0.216</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2021年8月—2023年8月</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40～59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1,146</w:t>
            </w:r>
          </w:p>
        </w:tc>
        <w:tc>
          <w:tcPr>
            <w:tcW w:type="dxa" w:w="306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1.49（0.84—2.64）</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0.161</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2021年8月—2023年8月</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60～79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1,163</w:t>
            </w:r>
          </w:p>
        </w:tc>
        <w:tc>
          <w:tcPr>
            <w:tcW w:type="dxa" w:w="306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2.66（1.54—4.60）</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0.002</w:t>
            </w:r>
          </w:p>
        </w:tc>
      </w:tr>
      <w:tr>
        <w:trPr>
          <w:cantSplit/>
        </w:trPr>
        <w:tc>
          <w:tcPr>
            <w:tcW w:type="dxa" w:w="243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2021年8月—2023年8月</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男性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1,665</w:t>
            </w:r>
          </w:p>
        </w:tc>
        <w:tc>
          <w:tcPr>
            <w:tcW w:type="dxa" w:w="306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2.31（1.39—3.82）</w:t>
            </w:r>
          </w:p>
        </w:tc>
        <w:tc>
          <w:tcPr>
            <w:tcW w:type="dxa" w:w="175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0.003</w:t>
            </w:r>
          </w:p>
        </w:tc>
      </w:tr>
      <w:tr>
        <w:trPr>
          <w:cantSplit/>
        </w:trPr>
        <w:tc>
          <w:tcPr>
            <w:tcW w:type="dxa" w:w="243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2021年8月—2023年8月</w:t>
            </w:r>
          </w:p>
        </w:tc>
        <w:tc>
          <w:tcPr>
            <w:tcW w:type="dxa" w:w="119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女性</w:t>
            </w:r>
          </w:p>
        </w:tc>
        <w:tc>
          <w:tcPr>
            <w:tcW w:type="dxa" w:w="119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1,898</w:t>
            </w:r>
          </w:p>
        </w:tc>
        <w:tc>
          <w:tcPr>
            <w:tcW w:type="dxa" w:w="306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1.74（1.12—2.71）</w:t>
            </w:r>
          </w:p>
        </w:tc>
        <w:tc>
          <w:tcPr>
            <w:tcW w:type="dxa" w:w="1757"/>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0.018</w:t>
            </w:r>
          </w:p>
        </w:tc>
      </w:tr>
    </w:tbl>
    <w:p>
      <w:pPr>
        <w:widowControl/>
      </w:pPr>
      <w:r>
        <w:rPr>
          <w:sz w:val="18"/>
        </w:rPr>
        <w:t>注：年龄组内继续调整连续年龄；性别组内移除恒定性别。交互检验见正文。</w:t>
      </w:r>
    </w:p>
    <w:p>
      <w:pPr>
        <w:pStyle w:val="Heading1"/>
        <w:pageBreakBefore/>
      </w:pPr>
      <w:r>
        <w:t>图3 1999—2020年3月亚组森林图</w:t>
      </w:r>
    </w:p>
    <w:p>
      <w:pPr>
        <w:widowControl/>
      </w:pPr>
      <w:r>
        <w:rPr>
          <w:sz w:val="18"/>
        </w:rPr>
        <w:t>Figure 3 Age and sex subgroup estimates</w:t>
      </w:r>
    </w:p>
    <w:p>
      <w:pPr>
        <w:jc w:val="center"/>
      </w:pPr>
      <w:r>
        <w:drawing>
          <wp:inline xmlns:a="http://schemas.openxmlformats.org/drawingml/2006/main" xmlns:pic="http://schemas.openxmlformats.org/drawingml/2006/picture">
            <wp:extent cx="6120000" cy="4080000"/>
            <wp:docPr id="3" name="Picture 3"/>
            <wp:cNvGraphicFramePr>
              <a:graphicFrameLocks noChangeAspect="1"/>
            </wp:cNvGraphicFramePr>
            <a:graphic>
              <a:graphicData uri="http://schemas.openxmlformats.org/drawingml/2006/picture">
                <pic:pic>
                  <pic:nvPicPr>
                    <pic:cNvPr id="0" name="subgroup_forest.png"/>
                    <pic:cNvPicPr/>
                  </pic:nvPicPr>
                  <pic:blipFill>
                    <a:blip r:embed="rId12"/>
                    <a:stretch>
                      <a:fillRect/>
                    </a:stretch>
                  </pic:blipFill>
                  <pic:spPr>
                    <a:xfrm>
                      <a:off x="0" y="0"/>
                      <a:ext cx="6120000" cy="4080000"/>
                    </a:xfrm>
                    <a:prstGeom prst="rect"/>
                  </pic:spPr>
                </pic:pic>
              </a:graphicData>
            </a:graphic>
          </wp:inline>
        </w:drawing>
      </w:r>
    </w:p>
    <w:p>
      <w:pPr>
        <w:widowControl/>
      </w:pPr>
      <w:r>
        <w:rPr>
          <w:sz w:val="18"/>
        </w:rPr>
        <w:t>注：点及横线为OR与95%CI，横轴为对数刻度；虚线为OR=1。组内显著性不能代替交互检验。</w:t>
      </w:r>
    </w:p>
    <w:p>
      <w:pPr>
        <w:pStyle w:val="Heading1"/>
        <w:pageBreakBefore/>
      </w:pPr>
      <w:r>
        <w:t>图4 2021年8月—2023年8月亚组森林图</w:t>
      </w:r>
    </w:p>
    <w:p>
      <w:pPr>
        <w:widowControl/>
      </w:pPr>
      <w:r>
        <w:rPr>
          <w:sz w:val="18"/>
        </w:rPr>
        <w:t>Figure 4 Age and sex subgroup estimates</w:t>
      </w:r>
    </w:p>
    <w:p>
      <w:pPr>
        <w:jc w:val="center"/>
      </w:pPr>
      <w:r>
        <w:drawing>
          <wp:inline xmlns:a="http://schemas.openxmlformats.org/drawingml/2006/main" xmlns:pic="http://schemas.openxmlformats.org/drawingml/2006/picture">
            <wp:extent cx="6120000" cy="4080000"/>
            <wp:docPr id="4" name="Picture 4"/>
            <wp:cNvGraphicFramePr>
              <a:graphicFrameLocks noChangeAspect="1"/>
            </wp:cNvGraphicFramePr>
            <a:graphic>
              <a:graphicData uri="http://schemas.openxmlformats.org/drawingml/2006/picture">
                <pic:pic>
                  <pic:nvPicPr>
                    <pic:cNvPr id="0" name="subgroup_forest.png"/>
                    <pic:cNvPicPr/>
                  </pic:nvPicPr>
                  <pic:blipFill>
                    <a:blip r:embed="rId13"/>
                    <a:stretch>
                      <a:fillRect/>
                    </a:stretch>
                  </pic:blipFill>
                  <pic:spPr>
                    <a:xfrm>
                      <a:off x="0" y="0"/>
                      <a:ext cx="6120000" cy="4080000"/>
                    </a:xfrm>
                    <a:prstGeom prst="rect"/>
                  </pic:spPr>
                </pic:pic>
              </a:graphicData>
            </a:graphic>
          </wp:inline>
        </w:drawing>
      </w:r>
    </w:p>
    <w:p>
      <w:pPr>
        <w:widowControl/>
      </w:pPr>
      <w:r>
        <w:rPr>
          <w:sz w:val="18"/>
        </w:rPr>
        <w:t>注：点及横线为OR与95%CI，横轴为对数刻度；虚线为OR=1。组内显著性不能代替交互检验。</w:t>
      </w:r>
    </w:p>
    <w:p>
      <w:pPr>
        <w:pStyle w:val="Heading1"/>
        <w:pageBreakBefore/>
      </w:pPr>
      <w:r>
        <w:t>表5 跨期合并与时期交互</w:t>
      </w:r>
    </w:p>
    <w:p>
      <w:pPr>
        <w:widowControl/>
      </w:pPr>
      <w:r>
        <w:rPr>
          <w:sz w:val="18"/>
        </w:rPr>
        <w:t>Table 5 Supplementary pooling and period interactions</w:t>
      </w:r>
    </w:p>
    <w:tbl>
      <w:tblPr>
        <w:tblW w:type="auto" w:w="0"/>
        <w:jc w:val="center"/>
        <w:tblLayout w:type="fixed"/>
        <w:tblLook w:firstColumn="1" w:firstRow="1" w:lastColumn="0" w:lastRow="0" w:noHBand="0" w:noVBand="1" w:val="04A0"/>
      </w:tblPr>
      <w:tblGrid>
        <w:gridCol w:w="794"/>
        <w:gridCol w:w="2381"/>
        <w:gridCol w:w="1134"/>
        <w:gridCol w:w="3628"/>
        <w:gridCol w:w="1701"/>
      </w:tblGrid>
      <w:tr>
        <w:trPr>
          <w:cantSplit/>
          <w:tblHeader/>
        </w:trPr>
        <w:tc>
          <w:tcPr>
            <w:tcW w:type="dxa" w:w="794"/>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9"/>
              </w:rPr>
              <w:t>模型</w:t>
            </w:r>
          </w:p>
        </w:tc>
        <w:tc>
          <w:tcPr>
            <w:tcW w:type="dxa" w:w="238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参数</w:t>
            </w:r>
          </w:p>
        </w:tc>
        <w:tc>
          <w:tcPr>
            <w:tcW w:type="dxa" w:w="1134"/>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人数</w:t>
            </w:r>
          </w:p>
        </w:tc>
        <w:tc>
          <w:tcPr>
            <w:tcW w:type="dxa" w:w="362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估计（95%CI）</w:t>
            </w:r>
          </w:p>
        </w:tc>
        <w:tc>
          <w:tcPr>
            <w:tcW w:type="dxa" w:w="170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P值</w:t>
            </w:r>
          </w:p>
        </w:tc>
      </w:tr>
      <w:tr>
        <w:trPr>
          <w:cantSplit/>
        </w:trPr>
        <w:tc>
          <w:tcPr>
            <w:tcW w:type="dxa" w:w="79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P1</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总体OR</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40,690</w:t>
            </w:r>
          </w:p>
        </w:tc>
        <w:tc>
          <w:tcPr>
            <w:tcW w:type="dxa" w:w="362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2.25（1.92—2.64）</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&lt;0.001</w:t>
            </w:r>
          </w:p>
        </w:tc>
      </w:tr>
      <w:tr>
        <w:trPr>
          <w:cantSplit/>
        </w:trPr>
        <w:tc>
          <w:tcPr>
            <w:tcW w:type="dxa" w:w="79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P2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总体OR</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40,690</w:t>
            </w:r>
          </w:p>
        </w:tc>
        <w:tc>
          <w:tcPr>
            <w:tcW w:type="dxa" w:w="362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2.22（1.89—2.61）</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&lt;0.001</w:t>
            </w:r>
          </w:p>
        </w:tc>
      </w:tr>
      <w:tr>
        <w:trPr>
          <w:cantSplit/>
        </w:trPr>
        <w:tc>
          <w:tcPr>
            <w:tcW w:type="dxa" w:w="79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I1</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最新/疫情前OR比</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40,690</w:t>
            </w:r>
          </w:p>
        </w:tc>
        <w:tc>
          <w:tcPr>
            <w:tcW w:type="dxa" w:w="362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0.85（0.56—1.28）</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0.430</w:t>
            </w:r>
          </w:p>
        </w:tc>
      </w:tr>
      <w:tr>
        <w:trPr>
          <w:cantSplit/>
        </w:trPr>
        <w:tc>
          <w:tcPr>
            <w:tcW w:type="dxa" w:w="794"/>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9"/>
              </w:rPr>
              <w:t>I2</w:t>
            </w:r>
          </w:p>
        </w:tc>
        <w:tc>
          <w:tcPr>
            <w:tcW w:type="dxa" w:w="238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最新/疫情前OR比</w:t>
            </w:r>
          </w:p>
        </w:tc>
        <w:tc>
          <w:tcPr>
            <w:tcW w:type="dxa" w:w="1134"/>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40,690</w:t>
            </w:r>
          </w:p>
        </w:tc>
        <w:tc>
          <w:tcPr>
            <w:tcW w:type="dxa" w:w="362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0.84（0.55—1.29）</w:t>
            </w:r>
          </w:p>
        </w:tc>
        <w:tc>
          <w:tcPr>
            <w:tcW w:type="dxa" w:w="170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0.421</w:t>
            </w:r>
          </w:p>
        </w:tc>
      </w:tr>
    </w:tbl>
    <w:p>
      <w:pPr>
        <w:widowControl/>
      </w:pPr>
      <w:r>
        <w:rPr>
          <w:sz w:val="18"/>
        </w:rPr>
        <w:t>注：P1为M3加周期；P2再加年龄/PIR非线性。I1/I2在P1/P2中加入RA与时期交互。OR比为1表示模型中的关联相同；其置信区间用于评估不确定性。此表不检验缺失疫情时段，也不构成等效性证明。</w:t>
      </w:r>
    </w:p>
    <w:p>
      <w:pPr>
        <w:pStyle w:val="Heading1"/>
      </w:pPr>
      <w:r>
        <w:t>表6 分时期补充模型</w:t>
      </w:r>
    </w:p>
    <w:p>
      <w:pPr>
        <w:widowControl/>
      </w:pPr>
      <w:r>
        <w:rPr>
          <w:sz w:val="18"/>
        </w:rPr>
        <w:t>Table 6 Period-specific supplementary models</w:t>
      </w:r>
    </w:p>
    <w:tbl>
      <w:tblPr>
        <w:tblW w:type="auto" w:w="0"/>
        <w:jc w:val="center"/>
        <w:tblLayout w:type="fixed"/>
        <w:tblLook w:firstColumn="1" w:firstRow="1" w:lastColumn="0" w:lastRow="0" w:noHBand="0" w:noVBand="1" w:val="04A0"/>
      </w:tblPr>
      <w:tblGrid>
        <w:gridCol w:w="2608"/>
        <w:gridCol w:w="1134"/>
        <w:gridCol w:w="4082"/>
        <w:gridCol w:w="1814"/>
      </w:tblGrid>
      <w:tr>
        <w:trPr>
          <w:cantSplit/>
          <w:tblHeader/>
        </w:trPr>
        <w:tc>
          <w:tcPr>
            <w:tcW w:type="dxa" w:w="260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9"/>
              </w:rPr>
              <w:t>时期</w:t>
            </w:r>
          </w:p>
        </w:tc>
        <w:tc>
          <w:tcPr>
            <w:tcW w:type="dxa" w:w="1134"/>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模型</w:t>
            </w:r>
          </w:p>
        </w:tc>
        <w:tc>
          <w:tcPr>
            <w:tcW w:type="dxa" w:w="4082"/>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OR（95%CI）</w:t>
            </w:r>
          </w:p>
        </w:tc>
        <w:tc>
          <w:tcPr>
            <w:tcW w:type="dxa" w:w="1814"/>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9"/>
              </w:rPr>
              <w:t>P值</w:t>
            </w:r>
          </w:p>
        </w:tc>
      </w:tr>
      <w:tr>
        <w:trPr>
          <w:cantSplit/>
        </w:trPr>
        <w:tc>
          <w:tcPr>
            <w:tcW w:type="dxa" w:w="260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1999—2020年3月</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B0</w:t>
            </w:r>
          </w:p>
        </w:tc>
        <w:tc>
          <w:tcPr>
            <w:tcW w:type="dxa" w:w="4082"/>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2.27（1.91—2.70）</w:t>
            </w:r>
          </w:p>
        </w:tc>
        <w:tc>
          <w:tcPr>
            <w:tcW w:type="dxa" w:w="181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&lt;0.001</w:t>
            </w:r>
          </w:p>
        </w:tc>
      </w:tr>
      <w:tr>
        <w:trPr>
          <w:cantSplit/>
        </w:trPr>
        <w:tc>
          <w:tcPr>
            <w:tcW w:type="dxa" w:w="260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1999—2020年3月</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B1</w:t>
            </w:r>
          </w:p>
        </w:tc>
        <w:tc>
          <w:tcPr>
            <w:tcW w:type="dxa" w:w="4082"/>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2.24（1.89—2.66）</w:t>
            </w:r>
          </w:p>
        </w:tc>
        <w:tc>
          <w:tcPr>
            <w:tcW w:type="dxa" w:w="181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&lt;0.001</w:t>
            </w:r>
          </w:p>
        </w:tc>
      </w:tr>
      <w:tr>
        <w:trPr>
          <w:cantSplit/>
        </w:trPr>
        <w:tc>
          <w:tcPr>
            <w:tcW w:type="dxa" w:w="260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1999—2020年3月</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B2</w:t>
            </w:r>
          </w:p>
        </w:tc>
        <w:tc>
          <w:tcPr>
            <w:tcW w:type="dxa" w:w="4082"/>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2.23（1.88—2.66）</w:t>
            </w:r>
          </w:p>
        </w:tc>
        <w:tc>
          <w:tcPr>
            <w:tcW w:type="dxa" w:w="181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&lt;0.001</w:t>
            </w:r>
          </w:p>
        </w:tc>
      </w:tr>
      <w:tr>
        <w:trPr>
          <w:cantSplit/>
        </w:trPr>
        <w:tc>
          <w:tcPr>
            <w:tcW w:type="dxa" w:w="260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1999—2020年3月</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B3</w:t>
            </w:r>
          </w:p>
        </w:tc>
        <w:tc>
          <w:tcPr>
            <w:tcW w:type="dxa" w:w="4082"/>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2.25（1.89—2.68）</w:t>
            </w:r>
          </w:p>
        </w:tc>
        <w:tc>
          <w:tcPr>
            <w:tcW w:type="dxa" w:w="181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&lt;0.001</w:t>
            </w:r>
          </w:p>
        </w:tc>
      </w:tr>
      <w:tr>
        <w:trPr>
          <w:cantSplit/>
        </w:trPr>
        <w:tc>
          <w:tcPr>
            <w:tcW w:type="dxa" w:w="260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1999—2020年3月</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B4</w:t>
            </w:r>
          </w:p>
        </w:tc>
        <w:tc>
          <w:tcPr>
            <w:tcW w:type="dxa" w:w="4082"/>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2.24（1.89—2.66）</w:t>
            </w:r>
          </w:p>
        </w:tc>
        <w:tc>
          <w:tcPr>
            <w:tcW w:type="dxa" w:w="181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&lt;0.001</w:t>
            </w:r>
          </w:p>
        </w:tc>
      </w:tr>
      <w:tr>
        <w:trPr>
          <w:cantSplit/>
        </w:trPr>
        <w:tc>
          <w:tcPr>
            <w:tcW w:type="dxa" w:w="260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2021年8月—2023年8月</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B0</w:t>
            </w:r>
          </w:p>
        </w:tc>
        <w:tc>
          <w:tcPr>
            <w:tcW w:type="dxa" w:w="4082"/>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1.97（1.33—2.92）</w:t>
            </w:r>
          </w:p>
        </w:tc>
        <w:tc>
          <w:tcPr>
            <w:tcW w:type="dxa" w:w="181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0.002</w:t>
            </w:r>
          </w:p>
        </w:tc>
      </w:tr>
      <w:tr>
        <w:trPr>
          <w:cantSplit/>
        </w:trPr>
        <w:tc>
          <w:tcPr>
            <w:tcW w:type="dxa" w:w="260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2021年8月—2023年8月</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B1</w:t>
            </w:r>
          </w:p>
        </w:tc>
        <w:tc>
          <w:tcPr>
            <w:tcW w:type="dxa" w:w="4082"/>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1.92（1.24—2.96）</w:t>
            </w:r>
          </w:p>
        </w:tc>
        <w:tc>
          <w:tcPr>
            <w:tcW w:type="dxa" w:w="181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0.006</w:t>
            </w:r>
          </w:p>
        </w:tc>
      </w:tr>
      <w:tr>
        <w:trPr>
          <w:cantSplit/>
        </w:trPr>
        <w:tc>
          <w:tcPr>
            <w:tcW w:type="dxa" w:w="260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9"/>
              </w:rPr>
              <w:t>2021年8月—2023年8月</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B2</w:t>
            </w:r>
          </w:p>
        </w:tc>
        <w:tc>
          <w:tcPr>
            <w:tcW w:type="dxa" w:w="4082"/>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1.92（1.24—2.95）</w:t>
            </w:r>
          </w:p>
        </w:tc>
        <w:tc>
          <w:tcPr>
            <w:tcW w:type="dxa" w:w="181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9"/>
              </w:rPr>
              <w:t>0.006</w:t>
            </w:r>
          </w:p>
        </w:tc>
      </w:tr>
      <w:tr>
        <w:trPr>
          <w:cantSplit/>
        </w:trPr>
        <w:tc>
          <w:tcPr>
            <w:tcW w:type="dxa" w:w="260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9"/>
              </w:rPr>
              <w:t>2021年8月—2023年8月</w:t>
            </w:r>
          </w:p>
        </w:tc>
        <w:tc>
          <w:tcPr>
            <w:tcW w:type="dxa" w:w="1134"/>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B4</w:t>
            </w:r>
          </w:p>
        </w:tc>
        <w:tc>
          <w:tcPr>
            <w:tcW w:type="dxa" w:w="4082"/>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1.93（1.25—2.98）</w:t>
            </w:r>
          </w:p>
        </w:tc>
        <w:tc>
          <w:tcPr>
            <w:tcW w:type="dxa" w:w="1814"/>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9"/>
              </w:rPr>
              <w:t>0.006</w:t>
            </w:r>
          </w:p>
        </w:tc>
      </w:tr>
    </w:tbl>
    <w:p>
      <w:pPr>
        <w:widowControl/>
      </w:pPr>
      <w:r>
        <w:rPr>
          <w:sz w:val="18"/>
        </w:rPr>
        <w:t>注：B0—B4含义见方法；最新时期只有一个发布块，B3不适用。B4区间计入选择概率估计不确定性。</w:t>
      </w:r>
    </w:p>
    <w:p>
      <w:pPr>
        <w:pStyle w:val="Heading1"/>
        <w:pageBreakBefore/>
      </w:pPr>
      <w:r>
        <w:t>补充表S1 标准化比例与绝对差</w:t>
      </w:r>
    </w:p>
    <w:p>
      <w:pPr>
        <w:widowControl/>
      </w:pPr>
      <w:r>
        <w:rPr>
          <w:sz w:val="18"/>
        </w:rPr>
        <w:t>Supplementary Table S1 Standardized proportions and absolute differences</w:t>
      </w:r>
    </w:p>
    <w:p>
      <w:pPr>
        <w:pStyle w:val="Heading2"/>
      </w:pPr>
      <w:r>
        <w:t>1999—2020年3月</w:t>
      </w:r>
    </w:p>
    <w:tbl>
      <w:tblPr>
        <w:tblW w:type="auto" w:w="0"/>
        <w:jc w:val="center"/>
        <w:tblLayout w:type="fixed"/>
        <w:tblLook w:firstColumn="1" w:firstRow="1" w:lastColumn="0" w:lastRow="0" w:noHBand="0" w:noVBand="1" w:val="04A0"/>
      </w:tblPr>
      <w:tblGrid>
        <w:gridCol w:w="907"/>
        <w:gridCol w:w="3175"/>
        <w:gridCol w:w="5556"/>
      </w:tblGrid>
      <w:tr>
        <w:trPr>
          <w:cantSplit/>
          <w:tblHeader/>
        </w:trPr>
        <w:tc>
          <w:tcPr>
            <w:tcW w:type="dxa" w:w="907"/>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模型</w:t>
            </w:r>
          </w:p>
        </w:tc>
        <w:tc>
          <w:tcPr>
            <w:tcW w:type="dxa" w:w="317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比较量</w:t>
            </w:r>
          </w:p>
        </w:tc>
        <w:tc>
          <w:tcPr>
            <w:tcW w:type="dxa" w:w="5556"/>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估计及95%CI/%或百分点</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无关节炎</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12.70（12.20—13.21）</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RA</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24.51（21.55—27.74）</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RA减无关节炎</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11.82（8.74—14.89）</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B1</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无关节炎</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12.70（12.21—13.22）</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B1</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RA</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24.24（21.31—27.42）</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B1</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RA减无关节炎</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11.53（8.49—14.57）</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B3</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无关节炎</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12.70（12.20—13.22）</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B3</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RA</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24.30（21.37—27.49）</w:t>
            </w:r>
          </w:p>
        </w:tc>
      </w:tr>
      <w:tr>
        <w:trPr>
          <w:cantSplit/>
        </w:trPr>
        <w:tc>
          <w:tcPr>
            <w:tcW w:type="dxa" w:w="907"/>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B3</w:t>
            </w:r>
          </w:p>
        </w:tc>
        <w:tc>
          <w:tcPr>
            <w:tcW w:type="dxa" w:w="317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RA减无关节炎</w:t>
            </w:r>
          </w:p>
        </w:tc>
        <w:tc>
          <w:tcPr>
            <w:tcW w:type="dxa" w:w="5556"/>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11.60（8.55—14.64）</w:t>
            </w:r>
          </w:p>
        </w:tc>
      </w:tr>
    </w:tbl>
    <w:p>
      <w:pPr>
        <w:pStyle w:val="Heading2"/>
      </w:pPr>
      <w:r>
        <w:t>2021年8月—2023年8月</w:t>
      </w:r>
    </w:p>
    <w:tbl>
      <w:tblPr>
        <w:tblW w:type="auto" w:w="0"/>
        <w:jc w:val="center"/>
        <w:tblLayout w:type="fixed"/>
        <w:tblLook w:firstColumn="1" w:firstRow="1" w:lastColumn="0" w:lastRow="0" w:noHBand="0" w:noVBand="1" w:val="04A0"/>
      </w:tblPr>
      <w:tblGrid>
        <w:gridCol w:w="907"/>
        <w:gridCol w:w="3175"/>
        <w:gridCol w:w="5556"/>
      </w:tblGrid>
      <w:tr>
        <w:trPr>
          <w:cantSplit/>
          <w:tblHeader/>
        </w:trPr>
        <w:tc>
          <w:tcPr>
            <w:tcW w:type="dxa" w:w="907"/>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模型</w:t>
            </w:r>
          </w:p>
        </w:tc>
        <w:tc>
          <w:tcPr>
            <w:tcW w:type="dxa" w:w="317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比较量</w:t>
            </w:r>
          </w:p>
        </w:tc>
        <w:tc>
          <w:tcPr>
            <w:tcW w:type="dxa" w:w="5556"/>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估计及95%CI/%或百分点</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无关节炎</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16.29（14.49—18.25）</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RA</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27.43（20.66—35.42）</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RA减无关节炎</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11.14（3.64—18.64）</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B1</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无关节炎</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16.30（14.50—18.28）</w:t>
            </w:r>
          </w:p>
        </w:tc>
      </w:tr>
      <w:tr>
        <w:trPr>
          <w:cantSplit/>
        </w:trPr>
        <w:tc>
          <w:tcPr>
            <w:tcW w:type="dxa" w:w="907"/>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B1</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RA</w:t>
            </w:r>
          </w:p>
        </w:tc>
        <w:tc>
          <w:tcPr>
            <w:tcW w:type="dxa" w:w="5556"/>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26.90（19.73—35.52）</w:t>
            </w:r>
          </w:p>
        </w:tc>
      </w:tr>
      <w:tr>
        <w:trPr>
          <w:cantSplit/>
        </w:trPr>
        <w:tc>
          <w:tcPr>
            <w:tcW w:type="dxa" w:w="907"/>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B1</w:t>
            </w:r>
          </w:p>
        </w:tc>
        <w:tc>
          <w:tcPr>
            <w:tcW w:type="dxa" w:w="317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RA减无关节炎</w:t>
            </w:r>
          </w:p>
        </w:tc>
        <w:tc>
          <w:tcPr>
            <w:tcW w:type="dxa" w:w="5556"/>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10.59（2.47—18.72）</w:t>
            </w:r>
          </w:p>
        </w:tc>
      </w:tr>
    </w:tbl>
    <w:p>
      <w:pPr>
        <w:widowControl/>
      </w:pPr>
      <w:r>
        <w:rPr>
          <w:sz w:val="18"/>
        </w:rPr>
        <w:t>注：每个时期以其自身加权协变量分布为参考；绝对差为模型标准化的关联描述，不是干预效应。</w:t>
      </w:r>
    </w:p>
    <w:p>
      <w:pPr>
        <w:pStyle w:val="Heading1"/>
        <w:pageBreakBefore/>
      </w:pPr>
      <w:r>
        <w:t>补充表S2 1999—2020年3月协变量与两病分布</w:t>
      </w:r>
    </w:p>
    <w:p>
      <w:pPr>
        <w:widowControl/>
      </w:pPr>
      <w:r>
        <w:rPr>
          <w:sz w:val="18"/>
        </w:rPr>
        <w:t>Supplementary Table S2 Covariates and disease distributions</w:t>
      </w:r>
    </w:p>
    <w:tbl>
      <w:tblPr>
        <w:tblW w:type="auto" w:w="0"/>
        <w:jc w:val="center"/>
        <w:tblLayout w:type="fixed"/>
        <w:tblLook w:firstColumn="1" w:firstRow="1" w:lastColumn="0" w:lastRow="0" w:noHBand="0" w:noVBand="1" w:val="04A0"/>
      </w:tblPr>
      <w:tblGrid>
        <w:gridCol w:w="3685"/>
        <w:gridCol w:w="1191"/>
        <w:gridCol w:w="2381"/>
        <w:gridCol w:w="2381"/>
      </w:tblGrid>
      <w:tr>
        <w:trPr>
          <w:cantSplit/>
          <w:tblHeader/>
        </w:trPr>
        <w:tc>
          <w:tcPr>
            <w:tcW w:type="dxa" w:w="368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类别</w:t>
            </w:r>
          </w:p>
        </w:tc>
        <w:tc>
          <w:tcPr>
            <w:tcW w:type="dxa" w:w="119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人数</w:t>
            </w:r>
          </w:p>
        </w:tc>
        <w:tc>
          <w:tcPr>
            <w:tcW w:type="dxa" w:w="238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哮喘病例（加权%）</w:t>
            </w:r>
          </w:p>
        </w:tc>
        <w:tc>
          <w:tcPr>
            <w:tcW w:type="dxa" w:w="238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RA病例（加权%）</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20～39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16,349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2,438（15.50）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226（1.45）</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40～59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12,788</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1,463（11.73）</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871（5.94）</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60～79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7,990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796（10.12）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1,275（13.04）</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 男性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18,527</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2,062（11.73）</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986（4.14）</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 女性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18,600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2,635（14.78）</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1,386（5.74）</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非西班牙裔白人</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14,766</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2,073（13.64）</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918（4.97）</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墨西哥裔</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6,930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486（7.70）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367（3.45）</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其他西班牙裔</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3,175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449（14.56）</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203（4.23）</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非西班牙裔黑人</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8,337</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1,253（15.40）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759（7.17）</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其他及多种族</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3,919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436（11.94）</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125（3.47）</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大学毕业及以上</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8,675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1,107（13.05）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266（2.37）</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低于九年级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3,797</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281（7.82）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376（8.47）</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九至十一年级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5,327</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684（13.32）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468（7.46）</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高中或同等学历</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8,421</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1,031（12.54）</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582（6.05）</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部分大学或副学士</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10,907</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1,594（14.77）</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680（5.13）</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 ＜1</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7,814</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1,155（16.29）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636（6.96）</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 ≥1</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29,313</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3,542（12.72）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1,736（4.59）</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＜18.5</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619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86（14.99）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29（3.40）</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18.5～＜25</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11,006</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1,271（12.89）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479（3.52）</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25～＜30</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12,478</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1,384（11.59）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694（4.15）</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≥30</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13,024</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1,956（15.10）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1,170（7.10）</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吸烟状况 从未</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21,108</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2,503（12.47）</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1,036（3.61）</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吸烟状况 既往</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7,819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1,011（13.69）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719（7.05）</w:t>
            </w:r>
          </w:p>
        </w:tc>
      </w:tr>
      <w:tr>
        <w:trPr>
          <w:cantSplit/>
        </w:trPr>
        <w:tc>
          <w:tcPr>
            <w:tcW w:type="dxa" w:w="368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吸烟状况 当前</w:t>
            </w:r>
          </w:p>
        </w:tc>
        <w:tc>
          <w:tcPr>
            <w:tcW w:type="dxa" w:w="119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8,200</w:t>
            </w:r>
          </w:p>
        </w:tc>
        <w:tc>
          <w:tcPr>
            <w:tcW w:type="dxa" w:w="238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1,183（14.72）</w:t>
            </w:r>
          </w:p>
        </w:tc>
        <w:tc>
          <w:tcPr>
            <w:tcW w:type="dxa" w:w="238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617（6.17）</w:t>
            </w:r>
          </w:p>
        </w:tc>
      </w:tr>
    </w:tbl>
    <w:p>
      <w:pPr>
        <w:widowControl/>
      </w:pPr>
      <w:r>
        <w:rPr>
          <w:sz w:val="18"/>
        </w:rPr>
        <w:t>注：比例分母为该类别的研究样本；RA比例仅适用于RA与无关节炎的选定比较。</w:t>
      </w:r>
    </w:p>
    <w:p>
      <w:pPr>
        <w:pStyle w:val="Heading1"/>
        <w:pageBreakBefore/>
      </w:pPr>
      <w:r>
        <w:t>补充表S2 2021年8月—2023年8月协变量与两病分布</w:t>
      </w:r>
    </w:p>
    <w:p>
      <w:pPr>
        <w:widowControl/>
      </w:pPr>
      <w:r>
        <w:rPr>
          <w:sz w:val="18"/>
        </w:rPr>
        <w:t>Supplementary Table S2 Covariates and disease distributions</w:t>
      </w:r>
    </w:p>
    <w:tbl>
      <w:tblPr>
        <w:tblW w:type="auto" w:w="0"/>
        <w:jc w:val="center"/>
        <w:tblLayout w:type="fixed"/>
        <w:tblLook w:firstColumn="1" w:firstRow="1" w:lastColumn="0" w:lastRow="0" w:noHBand="0" w:noVBand="1" w:val="04A0"/>
      </w:tblPr>
      <w:tblGrid>
        <w:gridCol w:w="3685"/>
        <w:gridCol w:w="1191"/>
        <w:gridCol w:w="2381"/>
        <w:gridCol w:w="2381"/>
      </w:tblGrid>
      <w:tr>
        <w:trPr>
          <w:cantSplit/>
          <w:tblHeader/>
        </w:trPr>
        <w:tc>
          <w:tcPr>
            <w:tcW w:type="dxa" w:w="368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类别</w:t>
            </w:r>
          </w:p>
        </w:tc>
        <w:tc>
          <w:tcPr>
            <w:tcW w:type="dxa" w:w="119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人数</w:t>
            </w:r>
          </w:p>
        </w:tc>
        <w:tc>
          <w:tcPr>
            <w:tcW w:type="dxa" w:w="238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哮喘病例（加权%）</w:t>
            </w:r>
          </w:p>
        </w:tc>
        <w:tc>
          <w:tcPr>
            <w:tcW w:type="dxa" w:w="238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RA病例（加权%）</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20～39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1,254</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262（19.80）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17（1.58）</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40～59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1,146</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191（15.93）</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78（6.21）</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年龄/岁 60～79</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1,163</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146（11.80）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160（13.45）</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 男性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1,665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260（16.19）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103（4.64）</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 女性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1,898</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339（17.52）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152（6.54）</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非西班牙裔白人</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1,962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323（16.85）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120（5.09）</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墨西哥裔</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287</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46（15.11）</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23（5.77）</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其他西班牙裔</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393</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69（14.15）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32（5.55）</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非西班牙裔黑人</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460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81（20.06）</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50（8.92）</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 其他及多种族</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461</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80（17.27）</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30（4.82）</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大学毕业及以上</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1,338</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222（16.71）</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41（2.81）</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低于九年级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153</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23（15.26）</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20（8.19）</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九至十一年级</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275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43（15.20）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38（9.17）</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高中或同等学历</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745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121（16.64）</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83（8.82）</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 部分大学或副学士</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1,052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190（17.72）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73（5.15）</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 ＜1</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588</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111（18.25）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67（7.94）</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 ≥1</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2,975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488（16.62）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188（5.19）</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＜18.5</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48</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5（12.56）</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2（4.89）</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18.5～＜25</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962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143（15.12）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34（2.90）</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25～＜30</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1,192</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192（16.04）</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81（5.34）</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 ≥30</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1,361</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259（19.01）</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138（7.77）</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吸烟状况 从未</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2,173</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358（16.75）</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112（4.00）</w:t>
            </w:r>
          </w:p>
        </w:tc>
      </w:tr>
      <w:tr>
        <w:trPr>
          <w:cantSplit/>
        </w:trPr>
        <w:tc>
          <w:tcPr>
            <w:tcW w:type="dxa" w:w="368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吸烟状况 既往</w:t>
            </w:r>
          </w:p>
        </w:tc>
        <w:tc>
          <w:tcPr>
            <w:tcW w:type="dxa" w:w="119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820</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148（17.89）</w:t>
            </w:r>
          </w:p>
        </w:tc>
        <w:tc>
          <w:tcPr>
            <w:tcW w:type="dxa" w:w="238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83（8.80）</w:t>
            </w:r>
          </w:p>
        </w:tc>
      </w:tr>
      <w:tr>
        <w:trPr>
          <w:cantSplit/>
        </w:trPr>
        <w:tc>
          <w:tcPr>
            <w:tcW w:type="dxa" w:w="368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吸烟状况 当前</w:t>
            </w:r>
          </w:p>
        </w:tc>
        <w:tc>
          <w:tcPr>
            <w:tcW w:type="dxa" w:w="119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570</w:t>
            </w:r>
          </w:p>
        </w:tc>
        <w:tc>
          <w:tcPr>
            <w:tcW w:type="dxa" w:w="238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93（15.86）</w:t>
            </w:r>
          </w:p>
        </w:tc>
        <w:tc>
          <w:tcPr>
            <w:tcW w:type="dxa" w:w="238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60（7.97）</w:t>
            </w:r>
          </w:p>
        </w:tc>
      </w:tr>
    </w:tbl>
    <w:p>
      <w:pPr>
        <w:widowControl/>
      </w:pPr>
      <w:r>
        <w:rPr>
          <w:sz w:val="18"/>
        </w:rPr>
        <w:t>注：比例分母为该类别的研究样本；RA比例仅适用于RA与无关节炎的选定比较。</w:t>
      </w:r>
    </w:p>
    <w:p>
      <w:pPr>
        <w:pStyle w:val="Heading1"/>
        <w:pageBreakBefore/>
      </w:pPr>
      <w:r>
        <w:t>补充表S3 分类比较的设计校正检验</w:t>
      </w:r>
    </w:p>
    <w:p>
      <w:pPr>
        <w:widowControl/>
      </w:pPr>
      <w:r>
        <w:rPr>
          <w:sz w:val="18"/>
        </w:rPr>
        <w:t>Supplementary Table S3 Design-adjusted categorical tests</w:t>
      </w:r>
    </w:p>
    <w:p>
      <w:pPr>
        <w:pStyle w:val="Heading2"/>
      </w:pPr>
      <w:r>
        <w:t>1999—2020年3月</w:t>
      </w:r>
    </w:p>
    <w:tbl>
      <w:tblPr>
        <w:tblW w:type="auto" w:w="0"/>
        <w:jc w:val="center"/>
        <w:tblLayout w:type="fixed"/>
        <w:tblLook w:firstColumn="1" w:firstRow="1" w:lastColumn="0" w:lastRow="0" w:noHBand="0" w:noVBand="1" w:val="04A0"/>
      </w:tblPr>
      <w:tblGrid>
        <w:gridCol w:w="1134"/>
        <w:gridCol w:w="2098"/>
        <w:gridCol w:w="1531"/>
        <w:gridCol w:w="3175"/>
        <w:gridCol w:w="1701"/>
      </w:tblGrid>
      <w:tr>
        <w:trPr>
          <w:cantSplit/>
          <w:tblHeader/>
        </w:trPr>
        <w:tc>
          <w:tcPr>
            <w:tcW w:type="dxa" w:w="1134"/>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结局</w:t>
            </w:r>
          </w:p>
        </w:tc>
        <w:tc>
          <w:tcPr>
            <w:tcW w:type="dxa" w:w="209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变量</w:t>
            </w:r>
          </w:p>
        </w:tc>
        <w:tc>
          <w:tcPr>
            <w:tcW w:type="dxa" w:w="153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F值</w:t>
            </w:r>
          </w:p>
        </w:tc>
        <w:tc>
          <w:tcPr>
            <w:tcW w:type="dxa" w:w="317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分子/分母自由度</w:t>
            </w:r>
          </w:p>
        </w:tc>
        <w:tc>
          <w:tcPr>
            <w:tcW w:type="dxa" w:w="170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P值</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年龄/岁</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49.452</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1.99/324.54</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性别</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38.105</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1.00/163.00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种族/族裔</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24.788</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3.54/576.66</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教育程度</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10.805</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3.70/603.20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PIR</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40.278</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1.00/163.00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BMI/（kg·m⁻²）</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11.365</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2.92/476.66</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吸烟状况</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7.879</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1.96/319.26</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年龄/岁</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408.201</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1.98/323.04</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性别</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32.066</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1.00/163.00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种族/族裔</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19.880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3.59/584.49</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教育程度</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51.487</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3.59/584.71</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PIR</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35.834</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1.00/163.00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BMI/（kg·m⁻²）</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45.148</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2.96/482.06</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吸烟状况</w:t>
            </w:r>
          </w:p>
        </w:tc>
        <w:tc>
          <w:tcPr>
            <w:tcW w:type="dxa" w:w="153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52.689</w:t>
            </w:r>
          </w:p>
        </w:tc>
        <w:tc>
          <w:tcPr>
            <w:tcW w:type="dxa" w:w="317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1.96/318.82</w:t>
            </w:r>
          </w:p>
        </w:tc>
        <w:tc>
          <w:tcPr>
            <w:tcW w:type="dxa" w:w="170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&lt;0.001</w:t>
            </w:r>
          </w:p>
        </w:tc>
      </w:tr>
    </w:tbl>
    <w:p>
      <w:pPr>
        <w:pStyle w:val="Heading1"/>
        <w:pageBreakBefore/>
      </w:pPr>
      <w:r>
        <w:t>补充表S3（续） 2021年8月—2023年8月</w:t>
      </w:r>
    </w:p>
    <w:tbl>
      <w:tblPr>
        <w:tblW w:type="auto" w:w="0"/>
        <w:jc w:val="center"/>
        <w:tblLayout w:type="fixed"/>
        <w:tblLook w:firstColumn="1" w:firstRow="1" w:lastColumn="0" w:lastRow="0" w:noHBand="0" w:noVBand="1" w:val="04A0"/>
      </w:tblPr>
      <w:tblGrid>
        <w:gridCol w:w="1134"/>
        <w:gridCol w:w="2098"/>
        <w:gridCol w:w="1531"/>
        <w:gridCol w:w="3175"/>
        <w:gridCol w:w="1701"/>
      </w:tblGrid>
      <w:tr>
        <w:trPr>
          <w:cantSplit/>
          <w:tblHeader/>
        </w:trPr>
        <w:tc>
          <w:tcPr>
            <w:tcW w:type="dxa" w:w="1134"/>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结局</w:t>
            </w:r>
          </w:p>
        </w:tc>
        <w:tc>
          <w:tcPr>
            <w:tcW w:type="dxa" w:w="2098"/>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变量</w:t>
            </w:r>
          </w:p>
        </w:tc>
        <w:tc>
          <w:tcPr>
            <w:tcW w:type="dxa" w:w="153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F值</w:t>
            </w:r>
          </w:p>
        </w:tc>
        <w:tc>
          <w:tcPr>
            <w:tcW w:type="dxa" w:w="317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分子/分母自由度</w:t>
            </w:r>
          </w:p>
        </w:tc>
        <w:tc>
          <w:tcPr>
            <w:tcW w:type="dxa" w:w="170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P值</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年龄/岁</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8.343</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1.54/23.03</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0.004</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性别</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0.908</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1.00/15.00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0.356</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种族/族裔</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0.916</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3.75/56.18</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0.456</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教育程度</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0.203</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2.94/44.17</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0.890</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PIR</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1.219</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1.00/15.00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0.287</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BMI/（kg·m⁻²）</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1.418</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2.38/35.63</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0.256</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哮喘</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吸烟状况</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0.300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1.59/23.88</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0.694</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年龄/岁</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40.568</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1.49/22.40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性别</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5.280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1.00/15.00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0.036</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种族/族裔</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2.116</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3.29/49.40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0.105</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教育程度</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9.810</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3.02/45.31</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PIR</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4.473</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1.00/15.00</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0.052</w:t>
            </w:r>
          </w:p>
        </w:tc>
      </w:tr>
      <w:tr>
        <w:trPr>
          <w:cantSplit/>
        </w:trPr>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BMI/（kg·m⁻²）</w:t>
            </w:r>
          </w:p>
        </w:tc>
        <w:tc>
          <w:tcPr>
            <w:tcW w:type="dxa" w:w="153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6.081</w:t>
            </w:r>
          </w:p>
        </w:tc>
        <w:tc>
          <w:tcPr>
            <w:tcW w:type="dxa" w:w="317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2.14/32.09</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0.005</w:t>
            </w:r>
          </w:p>
        </w:tc>
      </w:tr>
      <w:tr>
        <w:trPr>
          <w:cantSplit/>
        </w:trPr>
        <w:tc>
          <w:tcPr>
            <w:tcW w:type="dxa" w:w="1134"/>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RA</w:t>
            </w:r>
          </w:p>
        </w:tc>
        <w:tc>
          <w:tcPr>
            <w:tcW w:type="dxa" w:w="2098"/>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吸烟状况</w:t>
            </w:r>
          </w:p>
        </w:tc>
        <w:tc>
          <w:tcPr>
            <w:tcW w:type="dxa" w:w="153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11.082</w:t>
            </w:r>
          </w:p>
        </w:tc>
        <w:tc>
          <w:tcPr>
            <w:tcW w:type="dxa" w:w="317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1.86/27.94</w:t>
            </w:r>
          </w:p>
        </w:tc>
        <w:tc>
          <w:tcPr>
            <w:tcW w:type="dxa" w:w="170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&lt;0.001</w:t>
            </w:r>
          </w:p>
        </w:tc>
      </w:tr>
    </w:tbl>
    <w:p>
      <w:pPr>
        <w:widowControl/>
      </w:pPr>
      <w:r>
        <w:rPr>
          <w:sz w:val="18"/>
        </w:rPr>
        <w:t>注：Rao–Scott F校正，未作多重性校正；各项为总体分类比较，不能解释为独立危险因素。</w:t>
      </w:r>
    </w:p>
    <w:p>
      <w:pPr>
        <w:pStyle w:val="Heading1"/>
        <w:pageBreakBefore/>
      </w:pPr>
      <w:r>
        <w:t>补充表S4 非线性亚组与检验</w:t>
      </w:r>
    </w:p>
    <w:p>
      <w:pPr>
        <w:widowControl/>
      </w:pPr>
      <w:r>
        <w:rPr>
          <w:sz w:val="18"/>
        </w:rPr>
        <w:t>Supplementary Table S4 Nonlinear-adjustment subgroups and tests</w:t>
      </w:r>
    </w:p>
    <w:p>
      <w:pPr>
        <w:pStyle w:val="Heading2"/>
      </w:pPr>
      <w:r>
        <w:t>1999—2020年3月</w:t>
      </w:r>
    </w:p>
    <w:tbl>
      <w:tblPr>
        <w:tblW w:type="auto" w:w="0"/>
        <w:jc w:val="center"/>
        <w:tblLayout w:type="fixed"/>
        <w:tblLook w:firstColumn="1" w:firstRow="1" w:lastColumn="0" w:lastRow="0" w:noHBand="0" w:noVBand="1" w:val="04A0"/>
      </w:tblPr>
      <w:tblGrid>
        <w:gridCol w:w="2835"/>
        <w:gridCol w:w="1134"/>
        <w:gridCol w:w="3969"/>
        <w:gridCol w:w="1701"/>
      </w:tblGrid>
      <w:tr>
        <w:trPr>
          <w:cantSplit/>
          <w:tblHeader/>
        </w:trPr>
        <w:tc>
          <w:tcPr>
            <w:tcW w:type="dxa" w:w="283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子总体</w:t>
            </w:r>
          </w:p>
        </w:tc>
        <w:tc>
          <w:tcPr>
            <w:tcW w:type="dxa" w:w="1134"/>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人数</w:t>
            </w:r>
          </w:p>
        </w:tc>
        <w:tc>
          <w:tcPr>
            <w:tcW w:type="dxa" w:w="3969"/>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OR（95%CI）</w:t>
            </w:r>
          </w:p>
        </w:tc>
        <w:tc>
          <w:tcPr>
            <w:tcW w:type="dxa" w:w="170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P值</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20-39</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16,349</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2.36（1.61—3.46）</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40-59</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12,788</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2.46（1.93—3.13）</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60-79</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7,990</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1.71（1.32—2.21）</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男性</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18,527</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2.36（1.80—3.09）</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女性</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18,600</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2.14（1.76—2.59）</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1999-2008</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16,658</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1.95（1.57—2.43）</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&lt;0.001</w:t>
            </w:r>
          </w:p>
        </w:tc>
      </w:tr>
      <w:tr>
        <w:trPr>
          <w:cantSplit/>
        </w:trPr>
        <w:tc>
          <w:tcPr>
            <w:tcW w:type="dxa" w:w="283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2009—2020年3月</w:t>
            </w:r>
          </w:p>
        </w:tc>
        <w:tc>
          <w:tcPr>
            <w:tcW w:type="dxa" w:w="1134"/>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20,469</w:t>
            </w:r>
          </w:p>
        </w:tc>
        <w:tc>
          <w:tcPr>
            <w:tcW w:type="dxa" w:w="3969"/>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2.50（1.94—3.22）</w:t>
            </w:r>
          </w:p>
        </w:tc>
        <w:tc>
          <w:tcPr>
            <w:tcW w:type="dxa" w:w="170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&lt;0.001</w:t>
            </w:r>
          </w:p>
        </w:tc>
      </w:tr>
    </w:tbl>
    <w:p>
      <w:pPr>
        <w:widowControl/>
      </w:pPr>
      <w:r>
        <w:rPr>
          <w:sz w:val="18"/>
        </w:rPr>
        <w:t>年龄及PIR联合非线性：F=11.376，自由度2/163，P&lt;0.001。</w:t>
      </w:r>
    </w:p>
    <w:p>
      <w:pPr>
        <w:widowControl/>
      </w:pPr>
      <w:r>
        <w:rPr>
          <w:sz w:val="18"/>
        </w:rPr>
        <w:t>年龄非线性：F=8.513，自由度1/163，P=0.004。</w:t>
      </w:r>
    </w:p>
    <w:p>
      <w:pPr>
        <w:widowControl/>
      </w:pPr>
      <w:r>
        <w:rPr>
          <w:sz w:val="18"/>
        </w:rPr>
        <w:t>PIR非线性：F=12.873，自由度1/163，P&lt;0.001。</w:t>
      </w:r>
    </w:p>
    <w:p>
      <w:pPr>
        <w:widowControl/>
      </w:pPr>
      <w:r>
        <w:rPr>
          <w:sz w:val="18"/>
        </w:rPr>
        <w:t>BMI额外非线性：F=3.227，自由度1/163，P=0.074。</w:t>
      </w:r>
    </w:p>
    <w:p>
      <w:pPr>
        <w:widowControl/>
      </w:pPr>
      <w:r>
        <w:rPr>
          <w:sz w:val="18"/>
        </w:rPr>
        <w:t>年龄组交互：F=2.781，自由度2/163，P=0.065。</w:t>
      </w:r>
    </w:p>
    <w:p>
      <w:pPr>
        <w:widowControl/>
      </w:pPr>
      <w:r>
        <w:rPr>
          <w:sz w:val="18"/>
        </w:rPr>
        <w:t>性别交互：F=0.192，自由度1/163，P=0.662。</w:t>
      </w:r>
    </w:p>
    <w:p>
      <w:pPr>
        <w:widowControl/>
      </w:pPr>
      <w:r>
        <w:rPr>
          <w:sz w:val="18"/>
        </w:rPr>
        <w:t>疫情前内部时期交互：F=1.640，自由度1/163，P=0.202。</w:t>
      </w:r>
    </w:p>
    <w:p>
      <w:pPr>
        <w:pStyle w:val="Heading2"/>
      </w:pPr>
      <w:r>
        <w:t>2021年8月—2023年8月</w:t>
      </w:r>
    </w:p>
    <w:tbl>
      <w:tblPr>
        <w:tblW w:type="auto" w:w="0"/>
        <w:jc w:val="center"/>
        <w:tblLayout w:type="fixed"/>
        <w:tblLook w:firstColumn="1" w:firstRow="1" w:lastColumn="0" w:lastRow="0" w:noHBand="0" w:noVBand="1" w:val="04A0"/>
      </w:tblPr>
      <w:tblGrid>
        <w:gridCol w:w="2835"/>
        <w:gridCol w:w="1134"/>
        <w:gridCol w:w="3969"/>
        <w:gridCol w:w="1701"/>
      </w:tblGrid>
      <w:tr>
        <w:trPr>
          <w:cantSplit/>
          <w:tblHeader/>
        </w:trPr>
        <w:tc>
          <w:tcPr>
            <w:tcW w:type="dxa" w:w="283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子总体</w:t>
            </w:r>
          </w:p>
        </w:tc>
        <w:tc>
          <w:tcPr>
            <w:tcW w:type="dxa" w:w="1134"/>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人数</w:t>
            </w:r>
          </w:p>
        </w:tc>
        <w:tc>
          <w:tcPr>
            <w:tcW w:type="dxa" w:w="3969"/>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OR（95%CI）</w:t>
            </w:r>
          </w:p>
        </w:tc>
        <w:tc>
          <w:tcPr>
            <w:tcW w:type="dxa" w:w="1701"/>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P值</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20-39</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1,254</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2.07（0.55—7.79）</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0.260</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40-59</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1,146</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1.49（0.84—2.65）</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0.156</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60-79</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1,163</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2.67（1.57—4.55）</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0.001</w:t>
            </w:r>
          </w:p>
        </w:tc>
      </w:tr>
      <w:tr>
        <w:trPr>
          <w:cantSplit/>
        </w:trPr>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男性</w:t>
            </w:r>
          </w:p>
        </w:tc>
        <w:tc>
          <w:tcPr>
            <w:tcW w:type="dxa" w:w="1134"/>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1,665</w:t>
            </w:r>
          </w:p>
        </w:tc>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2.24（1.31—3.82）</w:t>
            </w:r>
          </w:p>
        </w:tc>
        <w:tc>
          <w:tcPr>
            <w:tcW w:type="dxa" w:w="1701"/>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0.006</w:t>
            </w:r>
          </w:p>
        </w:tc>
      </w:tr>
      <w:tr>
        <w:trPr>
          <w:cantSplit/>
        </w:trPr>
        <w:tc>
          <w:tcPr>
            <w:tcW w:type="dxa" w:w="283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女性</w:t>
            </w:r>
          </w:p>
        </w:tc>
        <w:tc>
          <w:tcPr>
            <w:tcW w:type="dxa" w:w="1134"/>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1,898</w:t>
            </w:r>
          </w:p>
        </w:tc>
        <w:tc>
          <w:tcPr>
            <w:tcW w:type="dxa" w:w="3969"/>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1.70（1.03—2.79）</w:t>
            </w:r>
          </w:p>
        </w:tc>
        <w:tc>
          <w:tcPr>
            <w:tcW w:type="dxa" w:w="1701"/>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0.039</w:t>
            </w:r>
          </w:p>
        </w:tc>
      </w:tr>
    </w:tbl>
    <w:p>
      <w:pPr>
        <w:widowControl/>
      </w:pPr>
      <w:r>
        <w:rPr>
          <w:sz w:val="18"/>
        </w:rPr>
        <w:t>年龄及PIR联合非线性：F=0.845，自由度2/15，P=0.449。</w:t>
      </w:r>
    </w:p>
    <w:p>
      <w:pPr>
        <w:widowControl/>
      </w:pPr>
      <w:r>
        <w:rPr>
          <w:sz w:val="18"/>
        </w:rPr>
        <w:t>年龄非线性：F=1.684，自由度1/15，P=0.214。</w:t>
      </w:r>
    </w:p>
    <w:p>
      <w:pPr>
        <w:widowControl/>
      </w:pPr>
      <w:r>
        <w:rPr>
          <w:sz w:val="18"/>
        </w:rPr>
        <w:t>PIR非线性：F=0.074，自由度1/15，P=0.789。</w:t>
      </w:r>
    </w:p>
    <w:p>
      <w:pPr>
        <w:widowControl/>
      </w:pPr>
      <w:r>
        <w:rPr>
          <w:sz w:val="18"/>
        </w:rPr>
        <w:t>BMI额外非线性：F=0.308，自由度1/15，P=0.587。</w:t>
      </w:r>
    </w:p>
    <w:p>
      <w:pPr>
        <w:widowControl/>
      </w:pPr>
      <w:r>
        <w:rPr>
          <w:sz w:val="18"/>
        </w:rPr>
        <w:t>年龄组交互：F=1.503，自由度2/15，P=0.254。</w:t>
      </w:r>
    </w:p>
    <w:p>
      <w:pPr>
        <w:widowControl/>
      </w:pPr>
      <w:r>
        <w:rPr>
          <w:sz w:val="18"/>
        </w:rPr>
        <w:t>性别交互：F=0.569，自由度1/15，P=0.462。</w:t>
      </w:r>
    </w:p>
    <w:p>
      <w:pPr>
        <w:pStyle w:val="Heading1"/>
        <w:pageBreakBefore/>
      </w:pPr>
      <w:r>
        <w:t>补充表S5 完整病例选择与缺失</w:t>
      </w:r>
    </w:p>
    <w:p>
      <w:pPr>
        <w:widowControl/>
      </w:pPr>
      <w:r>
        <w:rPr>
          <w:sz w:val="18"/>
        </w:rPr>
        <w:t>Supplementary Table S5 Complete-case selection and missingness</w:t>
      </w:r>
    </w:p>
    <w:p>
      <w:pPr>
        <w:pStyle w:val="Heading2"/>
      </w:pPr>
      <w:r>
        <w:t>1999—2020年3月</w:t>
      </w:r>
    </w:p>
    <w:tbl>
      <w:tblPr>
        <w:tblW w:type="auto" w:w="0"/>
        <w:jc w:val="center"/>
        <w:tblLayout w:type="fixed"/>
        <w:tblLook w:firstColumn="1" w:firstRow="1" w:lastColumn="0" w:lastRow="0" w:noHBand="0" w:noVBand="1" w:val="04A0"/>
      </w:tblPr>
      <w:tblGrid>
        <w:gridCol w:w="3969"/>
        <w:gridCol w:w="2835"/>
        <w:gridCol w:w="2835"/>
      </w:tblGrid>
      <w:tr>
        <w:trPr>
          <w:cantSplit/>
          <w:tblHeader/>
        </w:trPr>
        <w:tc>
          <w:tcPr>
            <w:tcW w:type="dxa" w:w="3969"/>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协变量</w:t>
            </w:r>
          </w:p>
        </w:tc>
        <w:tc>
          <w:tcPr>
            <w:tcW w:type="dxa" w:w="283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疾病资格分母</w:t>
            </w:r>
          </w:p>
        </w:tc>
        <w:tc>
          <w:tcPr>
            <w:tcW w:type="dxa" w:w="283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缺失人数</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41,522</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41,522</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41,522</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40</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41,522</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3,796</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41,522</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632</w:t>
            </w:r>
          </w:p>
        </w:tc>
      </w:tr>
      <w:tr>
        <w:trPr>
          <w:cantSplit/>
        </w:trPr>
        <w:tc>
          <w:tcPr>
            <w:tcW w:type="dxa" w:w="3969"/>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吸烟状况</w:t>
            </w:r>
          </w:p>
        </w:tc>
        <w:tc>
          <w:tcPr>
            <w:tcW w:type="dxa" w:w="283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41,522</w:t>
            </w:r>
          </w:p>
        </w:tc>
        <w:tc>
          <w:tcPr>
            <w:tcW w:type="dxa" w:w="283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31</w:t>
            </w:r>
          </w:p>
        </w:tc>
      </w:tr>
    </w:tbl>
    <w:p>
      <w:pPr>
        <w:widowControl/>
      </w:pPr>
      <w:r>
        <w:rPr>
          <w:sz w:val="18"/>
        </w:rPr>
        <w:t>选择概率0.707—0.974，最大选择权重倍数1.414；协变量预测RA概率的共同支持范围外586人，加权占比2.01%。</w:t>
      </w:r>
    </w:p>
    <w:p>
      <w:pPr>
        <w:widowControl/>
      </w:pPr>
      <w:r>
        <w:rPr>
          <w:sz w:val="18"/>
        </w:rPr>
        <w:t>各缺失人数允许重叠；顺序排除见流程表。纳入/排除者可观察特征及完整缺失组合见附件selection_characteristics.csv和missing_patterns.csv，均保留各自分母。</w:t>
      </w:r>
    </w:p>
    <w:p>
      <w:pPr>
        <w:pStyle w:val="Heading2"/>
      </w:pPr>
      <w:r>
        <w:t>2021年8月—2023年8月</w:t>
      </w:r>
    </w:p>
    <w:tbl>
      <w:tblPr>
        <w:tblW w:type="auto" w:w="0"/>
        <w:jc w:val="center"/>
        <w:tblLayout w:type="fixed"/>
        <w:tblLook w:firstColumn="1" w:firstRow="1" w:lastColumn="0" w:lastRow="0" w:noHBand="0" w:noVBand="1" w:val="04A0"/>
      </w:tblPr>
      <w:tblGrid>
        <w:gridCol w:w="3969"/>
        <w:gridCol w:w="2835"/>
        <w:gridCol w:w="2835"/>
      </w:tblGrid>
      <w:tr>
        <w:trPr>
          <w:cantSplit/>
          <w:tblHeader/>
        </w:trPr>
        <w:tc>
          <w:tcPr>
            <w:tcW w:type="dxa" w:w="3969"/>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left"/>
            </w:pPr>
            <w:r>
              <w:rPr>
                <w:b/>
                <w:sz w:val="18"/>
              </w:rPr>
              <w:t>协变量</w:t>
            </w:r>
          </w:p>
        </w:tc>
        <w:tc>
          <w:tcPr>
            <w:tcW w:type="dxa" w:w="283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疾病资格分母</w:t>
            </w:r>
          </w:p>
        </w:tc>
        <w:tc>
          <w:tcPr>
            <w:tcW w:type="dxa" w:w="2835"/>
            <w:vAlign w:val="center"/>
            <w:tcBorders>
              <w:top w:val="single" w:sz="10" w:color="000000"/>
              <w:bottom w:val="single" w:sz="5" w:color="000000"/>
              <w:left w:val="nil" w:sz="5" w:color="000000"/>
              <w:right w:val="nil" w:sz="5" w:color="000000"/>
            </w:tcBorders>
            <w:tcMar>
              <w:top w:w="40" w:type="dxa"/>
              <w:bottom w:w="40" w:type="dxa"/>
              <w:left w:w="40" w:type="dxa"/>
              <w:right w:w="40" w:type="dxa"/>
            </w:tcMar>
          </w:tcPr>
          <w:p>
            <w:pPr>
              <w:spacing w:after="0" w:line="252" w:lineRule="auto"/>
              <w:jc w:val="center"/>
            </w:pPr>
            <w:r>
              <w:rPr>
                <w:b/>
                <w:sz w:val="18"/>
              </w:rPr>
              <w:t>缺失人数</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性别</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4,170</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种族/族裔</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4,170</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0</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教育程度</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4,170</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2</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PIR</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4,170</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553</w:t>
            </w:r>
          </w:p>
        </w:tc>
      </w:tr>
      <w:tr>
        <w:trPr>
          <w:cantSplit/>
        </w:trPr>
        <w:tc>
          <w:tcPr>
            <w:tcW w:type="dxa" w:w="3969"/>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left"/>
            </w:pPr>
            <w:r>
              <w:rPr>
                <w:b w:val="0"/>
                <w:sz w:val="18"/>
              </w:rPr>
              <w:t>BMI/（kg·m⁻²）</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4,170</w:t>
            </w:r>
          </w:p>
        </w:tc>
        <w:tc>
          <w:tcPr>
            <w:tcW w:type="dxa" w:w="2835"/>
            <w:vAlign w:val="center"/>
            <w:tcBorders>
              <w:top w:val="nil" w:sz="10" w:color="000000"/>
              <w:bottom w:val="nil" w:sz="5" w:color="000000"/>
              <w:left w:val="nil" w:sz="5" w:color="000000"/>
              <w:right w:val="nil" w:sz="5" w:color="000000"/>
            </w:tcBorders>
            <w:tcMar>
              <w:top w:w="40" w:type="dxa"/>
              <w:bottom w:w="40" w:type="dxa"/>
              <w:left w:w="40" w:type="dxa"/>
              <w:right w:w="40" w:type="dxa"/>
            </w:tcMar>
          </w:tcPr>
          <w:p>
            <w:pPr>
              <w:spacing w:after="0" w:line="252" w:lineRule="auto"/>
              <w:jc w:val="center"/>
            </w:pPr>
            <w:r>
              <w:rPr>
                <w:b w:val="0"/>
                <w:sz w:val="18"/>
              </w:rPr>
              <w:t>52</w:t>
            </w:r>
          </w:p>
        </w:tc>
      </w:tr>
      <w:tr>
        <w:trPr>
          <w:cantSplit/>
        </w:trPr>
        <w:tc>
          <w:tcPr>
            <w:tcW w:type="dxa" w:w="3969"/>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left"/>
            </w:pPr>
            <w:r>
              <w:rPr>
                <w:b w:val="0"/>
                <w:sz w:val="18"/>
              </w:rPr>
              <w:t>吸烟状况</w:t>
            </w:r>
          </w:p>
        </w:tc>
        <w:tc>
          <w:tcPr>
            <w:tcW w:type="dxa" w:w="283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4,170</w:t>
            </w:r>
          </w:p>
        </w:tc>
        <w:tc>
          <w:tcPr>
            <w:tcW w:type="dxa" w:w="2835"/>
            <w:vAlign w:val="center"/>
            <w:tcBorders>
              <w:top w:val="nil" w:sz="10" w:color="000000"/>
              <w:bottom w:val="single" w:sz="10" w:color="000000"/>
              <w:left w:val="nil" w:sz="10" w:color="000000"/>
              <w:right w:val="nil" w:sz="10" w:color="000000"/>
            </w:tcBorders>
            <w:tcMar>
              <w:top w:w="40" w:type="dxa"/>
              <w:bottom w:w="40" w:type="dxa"/>
              <w:left w:w="40" w:type="dxa"/>
              <w:right w:w="40" w:type="dxa"/>
            </w:tcMar>
          </w:tcPr>
          <w:p>
            <w:pPr>
              <w:spacing w:after="0" w:line="252" w:lineRule="auto"/>
              <w:jc w:val="center"/>
            </w:pPr>
            <w:r>
              <w:rPr>
                <w:b w:val="0"/>
                <w:sz w:val="18"/>
              </w:rPr>
              <w:t>5</w:t>
            </w:r>
          </w:p>
        </w:tc>
      </w:tr>
    </w:tbl>
    <w:p>
      <w:pPr>
        <w:widowControl/>
      </w:pPr>
      <w:r>
        <w:rPr>
          <w:sz w:val="18"/>
        </w:rPr>
        <w:t>选择概率0.711—0.907，最大选择权重倍数1.407；协变量预测RA概率的共同支持范围外21人，加权占比0.75%。</w:t>
      </w:r>
    </w:p>
    <w:p>
      <w:pPr>
        <w:widowControl/>
      </w:pPr>
      <w:r>
        <w:rPr>
          <w:sz w:val="18"/>
        </w:rPr>
        <w:t>各缺失人数允许重叠；顺序排除见流程表。纳入/排除者可观察特征及完整缺失组合见附件selection_characteristics.csv和missing_patterns.csv，均保留各自分母。</w:t>
      </w:r>
    </w:p>
    <w:sectPr w:rsidR="00FC693F" w:rsidRPr="0006063C" w:rsidSect="00034616">
      <w:footerReference w:type="default" r:id="rId9"/>
      <w:pgSz w:w="11906" w:h="16838"/>
      <w:pgMar w:top="1020" w:right="1134" w:bottom="102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snapToGrid w:val="0"/>
    </w:pPr>
    <w:rPr>
      <w:rFonts w:ascii="Times New Roman" w:hAnsi="Times New Roman"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snapToGrid w:val="0"/>
    </w:pPr>
    <w:rPr>
      <w:rFonts w:asciiTheme="majorHAnsi" w:eastAsiaTheme="majorEastAsia" w:hAnsiTheme="majorHAnsi" w:cstheme="majorBidi" w:ascii="Times New Roman" w:hAnsi="Times New Roman" w:eastAsia="Song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snapToGrid w:val="0"/>
    </w:pPr>
    <w:rPr>
      <w:rFonts w:asciiTheme="majorHAnsi" w:eastAsiaTheme="majorEastAsia" w:hAnsiTheme="majorHAnsi" w:cstheme="majorBidi" w:ascii="Times New Roman" w:hAnsi="Times New Roman" w:eastAsia="Songti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snapToGrid w:val="0"/>
    </w:pPr>
    <w:rPr>
      <w:rFonts w:asciiTheme="majorHAnsi" w:eastAsiaTheme="majorEastAsia" w:hAnsiTheme="majorHAnsi" w:cstheme="majorBidi" w:ascii="Times New Roman" w:hAnsi="Times New Roman" w:eastAsia="Songti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snapToGrid w:val="0"/>
    </w:pPr>
    <w:rPr>
      <w:rFonts w:asciiTheme="majorHAnsi" w:eastAsiaTheme="majorEastAsia" w:hAnsiTheme="majorHAnsi" w:cstheme="majorBidi" w:ascii="Times New Roman" w:hAnsi="Times New Roman"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snapToGrid w:val="0"/>
    </w:pPr>
    <w:rPr>
      <w:rFonts w:ascii="Times New Roman" w:hAnsi="Times New Roman"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自报类风湿关节炎与曾患哮喘的关联</dc:title>
  <dc:subject>NHANES 1999至2020年3月和2021至2023年 重复横断面研究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