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2D2926"/>
          <w:sz w:val="56"/>
          <w:szCs w:val="56"/>
        </w:rPr>
        <w:t xml:space="preserve">Narrate</w:t>
      </w:r>
    </w:p>
    <w:p>
      <w:pPr>
        <w:spacing w:after="80"/>
      </w:pPr>
      <w:r>
        <w:rPr>
          <w:rFonts w:ascii="Arial" w:cs="Arial" w:eastAsia="Arial" w:hAnsi="Arial"/>
          <w:color w:val="C67B5C"/>
          <w:sz w:val="32"/>
          <w:szCs w:val="32"/>
        </w:rPr>
        <w:t xml:space="preserve">Terms of Service &amp; Privacy Policy</w:t>
      </w:r>
    </w:p>
    <w:p>
      <w:pPr>
        <w:spacing w:after="80"/>
      </w:pPr>
      <w:r>
        <w:rPr>
          <w:rFonts w:ascii="Arial" w:cs="Arial" w:eastAsia="Arial" w:hAnsi="Arial"/>
          <w:color w:val="8E8883"/>
          <w:sz w:val="20"/>
          <w:szCs w:val="20"/>
        </w:rPr>
        <w:t xml:space="preserve">Version: 1.0   |   Effective Date: [INSERT DATE BEFORE LAUNCH]</w:t>
      </w:r>
    </w:p>
    <w:p>
      <w:pPr>
        <w:spacing w:after="400"/>
      </w:pPr>
      <w:r>
        <w:rPr>
          <w:rFonts w:ascii="Arial" w:cs="Arial" w:eastAsia="Arial" w:hAnsi="Arial"/>
          <w:color w:val="8E8883"/>
          <w:sz w:val="20"/>
          <w:szCs w:val="20"/>
        </w:rPr>
        <w:t xml:space="preserve">Governing Law: Norway   |   Data Controller: [INSERT LEGAL ENTITY NAME]</w:t>
      </w:r>
    </w:p>
    <w:p>
      <w:pPr>
        <w:pBdr>
          <w:left w:val="single" w:color="EAE2D9" w:sz="6"/>
        </w:pBdr>
        <w:spacing w:after="120"/>
        <w:ind w:left="360"/>
      </w:pPr>
      <w:r>
        <w:rPr>
          <w:rFonts w:ascii="Arial" w:cs="Arial" w:eastAsia="Arial" w:hAnsi="Arial"/>
          <w:i/>
          <w:iCs/>
          <w:color w:val="8E8883"/>
          <w:sz w:val="20"/>
          <w:szCs w:val="20"/>
        </w:rPr>
        <w:t xml:space="preserve">Legal note: This document was drafted as a starting framework. Before publishing to users, have it reviewed by a lawyer qualified in Norwegian and EU law. Key items requiring legal review are marked [LEGAL REVIEW].</w:t>
      </w:r>
    </w:p>
    <w:p>
      <w:pPr>
        <w:spacing w:after="160"/>
      </w:pPr>
      <w:r>
        <w:t xml:space="preserve"/>
      </w:r>
    </w:p>
    <w:p>
      <w:pPr>
        <w:pStyle w:val="Heading1"/>
      </w:pPr>
      <w:r>
        <w:rPr>
          <w:rFonts w:ascii="Arial" w:cs="Arial" w:eastAsia="Arial" w:hAnsi="Arial"/>
          <w:b/>
          <w:bCs/>
          <w:sz w:val="32"/>
          <w:szCs w:val="32"/>
        </w:rPr>
        <w:t xml:space="preserve">1. Introduction &amp; Acceptance</w:t>
      </w:r>
    </w:p>
    <w:p>
      <w:pPr>
        <w:spacing w:after="160"/>
      </w:pPr>
      <w:r>
        <w:rPr>
          <w:rFonts w:ascii="Arial" w:cs="Arial" w:eastAsia="Arial" w:hAnsi="Arial"/>
          <w:sz w:val="22"/>
          <w:szCs w:val="22"/>
        </w:rPr>
        <w:t xml:space="preserve">Welcome to Narrate. These Terms of Service (the Terms) govern your access to and use of the Narrate application (the Service), operated by [INSERT LEGAL ENTITY NAME] (we, us, or our), registered in Norway.</w:t>
      </w:r>
    </w:p>
    <w:p>
      <w:pPr>
        <w:spacing w:after="160"/>
      </w:pPr>
      <w:r>
        <w:rPr>
          <w:rFonts w:ascii="Arial" w:cs="Arial" w:eastAsia="Arial" w:hAnsi="Arial"/>
          <w:sz w:val="22"/>
          <w:szCs w:val="22"/>
        </w:rPr>
        <w:t xml:space="preserve">By creating an account or using the Service, you confirm that you are at least 16 years old and agree to be bound by these Terms and our Privacy Policy (Section 7). If you do not agree, do not use the Service.</w:t>
      </w:r>
    </w:p>
    <w:p>
      <w:pPr>
        <w:spacing w:after="160"/>
      </w:pPr>
      <w:r>
        <w:rPr>
          <w:rFonts w:ascii="Arial" w:cs="Arial" w:eastAsia="Arial" w:hAnsi="Arial"/>
          <w:sz w:val="22"/>
          <w:szCs w:val="22"/>
        </w:rPr>
        <w:t xml:space="preserve">We may update these Terms from time to time. We will notify you of material changes by email or by a prominent notice in the app. Continued use of the Service after the effective date of changes constitutes your acceptance.</w:t>
      </w:r>
    </w:p>
    <w:p>
      <w:pPr>
        <w:spacing w:after="160"/>
      </w:pPr>
      <w:r>
        <w:t xml:space="preserve"/>
      </w:r>
    </w:p>
    <w:p>
      <w:pPr>
        <w:pStyle w:val="Heading1"/>
      </w:pPr>
      <w:r>
        <w:rPr>
          <w:rFonts w:ascii="Arial" w:cs="Arial" w:eastAsia="Arial" w:hAnsi="Arial"/>
          <w:b/>
          <w:bCs/>
          <w:sz w:val="32"/>
          <w:szCs w:val="32"/>
        </w:rPr>
        <w:t xml:space="preserve">2. The Service</w:t>
      </w:r>
    </w:p>
    <w:p>
      <w:pPr>
        <w:pStyle w:val="Heading2"/>
      </w:pPr>
      <w:r>
        <w:rPr>
          <w:rFonts w:ascii="Arial" w:cs="Arial" w:eastAsia="Arial" w:hAnsi="Arial"/>
          <w:b/>
          <w:bCs/>
          <w:sz w:val="26"/>
          <w:szCs w:val="26"/>
        </w:rPr>
        <w:t xml:space="preserve">2.1 What Narrate Does</w:t>
      </w:r>
    </w:p>
    <w:p>
      <w:pPr>
        <w:spacing w:after="160"/>
      </w:pPr>
      <w:r>
        <w:rPr>
          <w:rFonts w:ascii="Arial" w:cs="Arial" w:eastAsia="Arial" w:hAnsi="Arial"/>
          <w:sz w:val="22"/>
          <w:szCs w:val="22"/>
        </w:rPr>
        <w:t xml:space="preserve">Narrate allows you to import text content (via URLs, PDF uploads, or direct text input) and convert it into AI-generated audio narrations for your personal listening. The Service uses serverless AI infrastructure to generate audio files that are stored in your private library.</w:t>
      </w:r>
    </w:p>
    <w:p>
      <w:pPr>
        <w:spacing w:after="160"/>
      </w:pPr>
      <w:r>
        <w:t xml:space="preserve"/>
      </w:r>
    </w:p>
    <w:p>
      <w:pPr>
        <w:pStyle w:val="Heading2"/>
      </w:pPr>
      <w:r>
        <w:rPr>
          <w:rFonts w:ascii="Arial" w:cs="Arial" w:eastAsia="Arial" w:hAnsi="Arial"/>
          <w:b/>
          <w:bCs/>
          <w:sz w:val="26"/>
          <w:szCs w:val="26"/>
        </w:rPr>
        <w:t xml:space="preserve">2.2 What Narrate Does Not Do</w:t>
      </w:r>
    </w:p>
    <w:p>
      <w:pPr>
        <w:pStyle w:val="ListParagraph"/>
        <w:numPr>
          <w:ilvl w:val="0"/>
          <w:numId w:val="2"/>
        </w:numPr>
        <w:spacing w:after="80"/>
      </w:pPr>
      <w:r>
        <w:rPr>
          <w:rFonts w:ascii="Arial" w:cs="Arial" w:eastAsia="Arial" w:hAnsi="Arial"/>
          <w:sz w:val="22"/>
          <w:szCs w:val="22"/>
        </w:rPr>
        <w:t xml:space="preserve">Narrate does not republish, distribute, or sell your content to third parties.</w:t>
      </w:r>
    </w:p>
    <w:p>
      <w:pPr>
        <w:pStyle w:val="ListParagraph"/>
        <w:numPr>
          <w:ilvl w:val="0"/>
          <w:numId w:val="2"/>
        </w:numPr>
        <w:spacing w:after="80"/>
      </w:pPr>
      <w:r>
        <w:rPr>
          <w:rFonts w:ascii="Arial" w:cs="Arial" w:eastAsia="Arial" w:hAnsi="Arial"/>
          <w:sz w:val="22"/>
          <w:szCs w:val="22"/>
        </w:rPr>
        <w:t xml:space="preserve">Narrate does not grant you any rights to content belonging to third parties.</w:t>
      </w:r>
    </w:p>
    <w:p>
      <w:pPr>
        <w:pStyle w:val="ListParagraph"/>
        <w:numPr>
          <w:ilvl w:val="0"/>
          <w:numId w:val="2"/>
        </w:numPr>
        <w:spacing w:after="80"/>
      </w:pPr>
      <w:r>
        <w:rPr>
          <w:rFonts w:ascii="Arial" w:cs="Arial" w:eastAsia="Arial" w:hAnsi="Arial"/>
          <w:sz w:val="22"/>
          <w:szCs w:val="22"/>
        </w:rPr>
        <w:t xml:space="preserve">Narrate does not guarantee that all URLs or documents can be successfully processed (e.g. paywalled content may be inaccessible).</w:t>
      </w:r>
    </w:p>
    <w:p>
      <w:pPr>
        <w:spacing w:after="160"/>
      </w:pPr>
      <w:r>
        <w:t xml:space="preserve"/>
      </w:r>
    </w:p>
    <w:p>
      <w:pPr>
        <w:pStyle w:val="Heading1"/>
      </w:pPr>
      <w:r>
        <w:rPr>
          <w:rFonts w:ascii="Arial" w:cs="Arial" w:eastAsia="Arial" w:hAnsi="Arial"/>
          <w:b/>
          <w:bCs/>
          <w:sz w:val="32"/>
          <w:szCs w:val="32"/>
        </w:rPr>
        <w:t xml:space="preserve">3. User Accounts</w:t>
      </w:r>
    </w:p>
    <w:p>
      <w:pPr>
        <w:pStyle w:val="Heading2"/>
      </w:pPr>
      <w:r>
        <w:rPr>
          <w:rFonts w:ascii="Arial" w:cs="Arial" w:eastAsia="Arial" w:hAnsi="Arial"/>
          <w:b/>
          <w:bCs/>
          <w:sz w:val="26"/>
          <w:szCs w:val="26"/>
        </w:rPr>
        <w:t xml:space="preserve">3.1 Registration</w:t>
      </w:r>
    </w:p>
    <w:p>
      <w:pPr>
        <w:spacing w:after="160"/>
      </w:pPr>
      <w:r>
        <w:rPr>
          <w:rFonts w:ascii="Arial" w:cs="Arial" w:eastAsia="Arial" w:hAnsi="Arial"/>
          <w:sz w:val="22"/>
          <w:szCs w:val="22"/>
        </w:rPr>
        <w:t xml:space="preserve">You may register using Google Sign-In or an email address. You are responsible for maintaining the confidentiality of your account credentials and for all activity that occurs under your account. You must notify us immediately of any unauthorised use of your account.</w:t>
      </w:r>
    </w:p>
    <w:p>
      <w:pPr>
        <w:spacing w:after="160"/>
      </w:pPr>
      <w:r>
        <w:t xml:space="preserve"/>
      </w:r>
    </w:p>
    <w:p>
      <w:pPr>
        <w:pStyle w:val="Heading2"/>
      </w:pPr>
      <w:r>
        <w:rPr>
          <w:rFonts w:ascii="Arial" w:cs="Arial" w:eastAsia="Arial" w:hAnsi="Arial"/>
          <w:b/>
          <w:bCs/>
          <w:sz w:val="26"/>
          <w:szCs w:val="26"/>
        </w:rPr>
        <w:t xml:space="preserve">3.2 Account Termination</w:t>
      </w:r>
    </w:p>
    <w:p>
      <w:pPr>
        <w:spacing w:after="160"/>
      </w:pPr>
      <w:r>
        <w:rPr>
          <w:rFonts w:ascii="Arial" w:cs="Arial" w:eastAsia="Arial" w:hAnsi="Arial"/>
          <w:sz w:val="22"/>
          <w:szCs w:val="22"/>
        </w:rPr>
        <w:t xml:space="preserve">You may delete your account at any time via Settings -&gt; Delete Account. Upon deletion, all your narrations, audio files, and personal data will be permanently deleted within 30 days, in accordance with our data retention policy (Section 7.4).</w:t>
      </w:r>
    </w:p>
    <w:p>
      <w:pPr>
        <w:spacing w:after="160"/>
      </w:pPr>
      <w:r>
        <w:rPr>
          <w:rFonts w:ascii="Arial" w:cs="Arial" w:eastAsia="Arial" w:hAnsi="Arial"/>
          <w:sz w:val="22"/>
          <w:szCs w:val="22"/>
        </w:rPr>
        <w:t xml:space="preserve">We reserve the right to suspend or terminate accounts that violate these Terms, with or without notice.</w:t>
      </w:r>
    </w:p>
    <w:p>
      <w:pPr>
        <w:spacing w:after="160"/>
      </w:pPr>
      <w:r>
        <w:t xml:space="preserve"/>
      </w:r>
    </w:p>
    <w:p>
      <w:pPr>
        <w:pStyle w:val="Heading1"/>
      </w:pPr>
      <w:r>
        <w:rPr>
          <w:rFonts w:ascii="Arial" w:cs="Arial" w:eastAsia="Arial" w:hAnsi="Arial"/>
          <w:b/>
          <w:bCs/>
          <w:sz w:val="32"/>
          <w:szCs w:val="32"/>
        </w:rPr>
        <w:t xml:space="preserve">4. Content &amp; Copyright</w:t>
      </w:r>
    </w:p>
    <w:p>
      <w:pPr>
        <w:pStyle w:val="Heading2"/>
      </w:pPr>
      <w:r>
        <w:rPr>
          <w:rFonts w:ascii="Arial" w:cs="Arial" w:eastAsia="Arial" w:hAnsi="Arial"/>
          <w:b/>
          <w:bCs/>
          <w:sz w:val="26"/>
          <w:szCs w:val="26"/>
        </w:rPr>
        <w:t xml:space="preserve">4.1 Your Responsibility</w:t>
      </w:r>
    </w:p>
    <w:p>
      <w:pPr>
        <w:spacing w:after="160"/>
      </w:pPr>
      <w:r>
        <w:rPr>
          <w:rFonts w:ascii="Arial" w:cs="Arial" w:eastAsia="Arial" w:hAnsi="Arial"/>
          <w:sz w:val="22"/>
          <w:szCs w:val="22"/>
        </w:rPr>
        <w:t xml:space="preserve">You are solely responsible for ensuring that you have the legal right to process any content you submit to Narrate. This includes, but is not limited to:</w:t>
      </w:r>
    </w:p>
    <w:p>
      <w:pPr>
        <w:pStyle w:val="ListParagraph"/>
        <w:numPr>
          <w:ilvl w:val="0"/>
          <w:numId w:val="2"/>
        </w:numPr>
        <w:spacing w:after="80"/>
      </w:pPr>
      <w:r>
        <w:rPr>
          <w:rFonts w:ascii="Arial" w:cs="Arial" w:eastAsia="Arial" w:hAnsi="Arial"/>
          <w:sz w:val="22"/>
          <w:szCs w:val="22"/>
        </w:rPr>
        <w:t xml:space="preserve">Articles and web pages you link to.</w:t>
      </w:r>
    </w:p>
    <w:p>
      <w:pPr>
        <w:pStyle w:val="ListParagraph"/>
        <w:numPr>
          <w:ilvl w:val="0"/>
          <w:numId w:val="2"/>
        </w:numPr>
        <w:spacing w:after="80"/>
      </w:pPr>
      <w:r>
        <w:rPr>
          <w:rFonts w:ascii="Arial" w:cs="Arial" w:eastAsia="Arial" w:hAnsi="Arial"/>
          <w:sz w:val="22"/>
          <w:szCs w:val="22"/>
        </w:rPr>
        <w:t xml:space="preserve">PDF documents you upload.</w:t>
      </w:r>
    </w:p>
    <w:p>
      <w:pPr>
        <w:pStyle w:val="ListParagraph"/>
        <w:numPr>
          <w:ilvl w:val="0"/>
          <w:numId w:val="2"/>
        </w:numPr>
        <w:spacing w:after="80"/>
      </w:pPr>
      <w:r>
        <w:rPr>
          <w:rFonts w:ascii="Arial" w:cs="Arial" w:eastAsia="Arial" w:hAnsi="Arial"/>
          <w:sz w:val="22"/>
          <w:szCs w:val="22"/>
        </w:rPr>
        <w:t xml:space="preserve">Text you paste directly into the Service.</w:t>
      </w:r>
    </w:p>
    <w:p>
      <w:pPr>
        <w:spacing w:after="160"/>
      </w:pPr>
      <w:r>
        <w:rPr>
          <w:rFonts w:ascii="Arial" w:cs="Arial" w:eastAsia="Arial" w:hAnsi="Arial"/>
          <w:sz w:val="22"/>
          <w:szCs w:val="22"/>
        </w:rPr>
        <w:t xml:space="preserve">By submitting content to Narrate, you represent and warrant that you have the necessary rights, licences, or permissions to do so.</w:t>
      </w:r>
    </w:p>
    <w:p>
      <w:pPr>
        <w:spacing w:after="160"/>
      </w:pPr>
      <w:r>
        <w:t xml:space="preserve"/>
      </w:r>
    </w:p>
    <w:p>
      <w:pPr>
        <w:pStyle w:val="Heading2"/>
      </w:pPr>
      <w:r>
        <w:rPr>
          <w:rFonts w:ascii="Arial" w:cs="Arial" w:eastAsia="Arial" w:hAnsi="Arial"/>
          <w:b/>
          <w:bCs/>
          <w:sz w:val="26"/>
          <w:szCs w:val="26"/>
        </w:rPr>
        <w:t xml:space="preserve">4.2 Personal Use</w:t>
      </w:r>
    </w:p>
    <w:p>
      <w:pPr>
        <w:spacing w:after="160"/>
      </w:pPr>
      <w:r>
        <w:rPr>
          <w:rFonts w:ascii="Arial" w:cs="Arial" w:eastAsia="Arial" w:hAnsi="Arial"/>
          <w:sz w:val="22"/>
          <w:szCs w:val="22"/>
        </w:rPr>
        <w:t xml:space="preserve">The AI narration feature is intended for personal, non-commercial use only, equivalent to reading a web article aloud to yourself. You must not use Narrate to create audio content for redistribution, broadcast, or commercial exploitation of third-party copyrighted material.</w:t>
      </w:r>
    </w:p>
    <w:p>
      <w:pPr>
        <w:pBdr>
          <w:left w:val="single" w:color="EAE2D9" w:sz="6"/>
        </w:pBdr>
        <w:spacing w:after="120"/>
        <w:ind w:left="360"/>
      </w:pPr>
      <w:r>
        <w:rPr>
          <w:rFonts w:ascii="Arial" w:cs="Arial" w:eastAsia="Arial" w:hAnsi="Arial"/>
          <w:i/>
          <w:iCs/>
          <w:color w:val="8E8883"/>
          <w:sz w:val="20"/>
          <w:szCs w:val="20"/>
        </w:rPr>
        <w:t xml:space="preserve">[LEGAL REVIEW] The personal-use fair use / fair dealing position should be confirmed with a lawyer in the relevant jurisdictions before launch.</w:t>
      </w:r>
    </w:p>
    <w:p>
      <w:pPr>
        <w:spacing w:after="160"/>
      </w:pPr>
      <w:r>
        <w:t xml:space="preserve"/>
      </w:r>
    </w:p>
    <w:p>
      <w:pPr>
        <w:pStyle w:val="Heading2"/>
      </w:pPr>
      <w:r>
        <w:rPr>
          <w:rFonts w:ascii="Arial" w:cs="Arial" w:eastAsia="Arial" w:hAnsi="Arial"/>
          <w:b/>
          <w:bCs/>
          <w:sz w:val="26"/>
          <w:szCs w:val="26"/>
        </w:rPr>
        <w:t xml:space="preserve">4.3 Prohibited Content</w:t>
      </w:r>
    </w:p>
    <w:p>
      <w:pPr>
        <w:spacing w:after="160"/>
      </w:pPr>
      <w:r>
        <w:rPr>
          <w:rFonts w:ascii="Arial" w:cs="Arial" w:eastAsia="Arial" w:hAnsi="Arial"/>
          <w:sz w:val="22"/>
          <w:szCs w:val="22"/>
        </w:rPr>
        <w:t xml:space="preserve">You must not submit to Narrate any content that:</w:t>
      </w:r>
    </w:p>
    <w:p>
      <w:pPr>
        <w:pStyle w:val="ListParagraph"/>
        <w:numPr>
          <w:ilvl w:val="0"/>
          <w:numId w:val="2"/>
        </w:numPr>
        <w:spacing w:after="80"/>
      </w:pPr>
      <w:r>
        <w:rPr>
          <w:rFonts w:ascii="Arial" w:cs="Arial" w:eastAsia="Arial" w:hAnsi="Arial"/>
          <w:sz w:val="22"/>
          <w:szCs w:val="22"/>
        </w:rPr>
        <w:t xml:space="preserve">Infringes any third-party intellectual property rights beyond personal fair use.</w:t>
      </w:r>
    </w:p>
    <w:p>
      <w:pPr>
        <w:pStyle w:val="ListParagraph"/>
        <w:numPr>
          <w:ilvl w:val="0"/>
          <w:numId w:val="2"/>
        </w:numPr>
        <w:spacing w:after="80"/>
      </w:pPr>
      <w:r>
        <w:rPr>
          <w:rFonts w:ascii="Arial" w:cs="Arial" w:eastAsia="Arial" w:hAnsi="Arial"/>
          <w:sz w:val="22"/>
          <w:szCs w:val="22"/>
        </w:rPr>
        <w:t xml:space="preserve">Is defamatory, obscene, hateful, threatening, or otherwise unlawful.</w:t>
      </w:r>
    </w:p>
    <w:p>
      <w:pPr>
        <w:pStyle w:val="ListParagraph"/>
        <w:numPr>
          <w:ilvl w:val="0"/>
          <w:numId w:val="2"/>
        </w:numPr>
        <w:spacing w:after="80"/>
      </w:pPr>
      <w:r>
        <w:rPr>
          <w:rFonts w:ascii="Arial" w:cs="Arial" w:eastAsia="Arial" w:hAnsi="Arial"/>
          <w:sz w:val="22"/>
          <w:szCs w:val="22"/>
        </w:rPr>
        <w:t xml:space="preserve">Contains personal data of third parties without their consent.</w:t>
      </w:r>
    </w:p>
    <w:p>
      <w:pPr>
        <w:pStyle w:val="ListParagraph"/>
        <w:numPr>
          <w:ilvl w:val="0"/>
          <w:numId w:val="2"/>
        </w:numPr>
        <w:spacing w:after="80"/>
      </w:pPr>
      <w:r>
        <w:rPr>
          <w:rFonts w:ascii="Arial" w:cs="Arial" w:eastAsia="Arial" w:hAnsi="Arial"/>
          <w:sz w:val="22"/>
          <w:szCs w:val="22"/>
        </w:rPr>
        <w:t xml:space="preserve">Is subject to DRM (Digital Rights Management) protection.</w:t>
      </w:r>
    </w:p>
    <w:p>
      <w:pPr>
        <w:spacing w:after="160"/>
      </w:pPr>
      <w:r>
        <w:t xml:space="preserve"/>
      </w:r>
    </w:p>
    <w:p>
      <w:pPr>
        <w:pStyle w:val="Heading2"/>
      </w:pPr>
      <w:r>
        <w:rPr>
          <w:rFonts w:ascii="Arial" w:cs="Arial" w:eastAsia="Arial" w:hAnsi="Arial"/>
          <w:b/>
          <w:bCs/>
          <w:sz w:val="26"/>
          <w:szCs w:val="26"/>
        </w:rPr>
        <w:t xml:space="preserve">4.4 Our Licence to Your Content</w:t>
      </w:r>
    </w:p>
    <w:p>
      <w:pPr>
        <w:spacing w:after="160"/>
      </w:pPr>
      <w:r>
        <w:rPr>
          <w:rFonts w:ascii="Arial" w:cs="Arial" w:eastAsia="Arial" w:hAnsi="Arial"/>
          <w:sz w:val="22"/>
          <w:szCs w:val="22"/>
        </w:rPr>
        <w:t xml:space="preserve">You retain all ownership rights in content you submit. You grant us a limited, non-exclusive, royalty-free licence to process, store, and convert your submitted content solely for the purpose of providing the Service to you. This licence terminates when you delete the content or your account.</w:t>
      </w:r>
    </w:p>
    <w:p>
      <w:pPr>
        <w:spacing w:after="160"/>
      </w:pPr>
      <w:r>
        <w:t xml:space="preserve"/>
      </w:r>
    </w:p>
    <w:p>
      <w:pPr>
        <w:pStyle w:val="Heading2"/>
      </w:pPr>
      <w:r>
        <w:rPr>
          <w:rFonts w:ascii="Arial" w:cs="Arial" w:eastAsia="Arial" w:hAnsi="Arial"/>
          <w:b/>
          <w:bCs/>
          <w:sz w:val="26"/>
          <w:szCs w:val="26"/>
        </w:rPr>
        <w:t xml:space="preserve">4.5 DMCA / Copyright Takedowns</w:t>
      </w:r>
    </w:p>
    <w:p>
      <w:pPr>
        <w:spacing w:after="160"/>
      </w:pPr>
      <w:r>
        <w:rPr>
          <w:rFonts w:ascii="Arial" w:cs="Arial" w:eastAsia="Arial" w:hAnsi="Arial"/>
          <w:sz w:val="22"/>
          <w:szCs w:val="22"/>
        </w:rPr>
        <w:t xml:space="preserve">If you believe that content processed via Narrate infringes your copyright, please contact us at [INSERT COPYRIGHT CONTACT EMAIL]. We will respond to valid takedown requests in accordance with applicable law.</w:t>
      </w:r>
    </w:p>
    <w:p>
      <w:pPr>
        <w:pBdr>
          <w:left w:val="single" w:color="EAE2D9" w:sz="6"/>
        </w:pBdr>
        <w:spacing w:after="120"/>
        <w:ind w:left="360"/>
      </w:pPr>
      <w:r>
        <w:rPr>
          <w:rFonts w:ascii="Arial" w:cs="Arial" w:eastAsia="Arial" w:hAnsi="Arial"/>
          <w:i/>
          <w:iCs/>
          <w:color w:val="8E8883"/>
          <w:sz w:val="20"/>
          <w:szCs w:val="20"/>
        </w:rPr>
        <w:t xml:space="preserve">[LEGAL REVIEW] Consider whether a full DMCA safe harbour notice-and-takedown procedure is required given your user base.</w:t>
      </w:r>
    </w:p>
    <w:p>
      <w:pPr>
        <w:spacing w:after="160"/>
      </w:pPr>
      <w:r>
        <w:t xml:space="preserve"/>
      </w:r>
    </w:p>
    <w:p>
      <w:pPr>
        <w:pStyle w:val="Heading1"/>
      </w:pPr>
      <w:r>
        <w:rPr>
          <w:rFonts w:ascii="Arial" w:cs="Arial" w:eastAsia="Arial" w:hAnsi="Arial"/>
          <w:b/>
          <w:bCs/>
          <w:sz w:val="32"/>
          <w:szCs w:val="32"/>
        </w:rPr>
        <w:t xml:space="preserve">5. Subscriptions &amp; Billing</w:t>
      </w:r>
    </w:p>
    <w:p>
      <w:pPr>
        <w:pStyle w:val="Heading2"/>
      </w:pPr>
      <w:r>
        <w:rPr>
          <w:rFonts w:ascii="Arial" w:cs="Arial" w:eastAsia="Arial" w:hAnsi="Arial"/>
          <w:b/>
          <w:bCs/>
          <w:sz w:val="26"/>
          <w:szCs w:val="26"/>
        </w:rPr>
        <w:t xml:space="preserve">5.1 Free Tier</w:t>
      </w:r>
    </w:p>
    <w:p>
      <w:pPr>
        <w:spacing w:after="160"/>
      </w:pPr>
      <w:r>
        <w:rPr>
          <w:rFonts w:ascii="Arial" w:cs="Arial" w:eastAsia="Arial" w:hAnsi="Arial"/>
          <w:sz w:val="22"/>
          <w:szCs w:val="22"/>
        </w:rPr>
        <w:t xml:space="preserve">Free accounts receive a one-time signup bonus of 30 minutes of AI generation credits. Once this bonus is exhausted, free users may continue to listen to any content already in their library and access any public narrations shared by other users, but may not generate new narrations until they upgrade to Pro.</w:t>
      </w:r>
    </w:p>
    <w:p>
      <w:pPr>
        <w:spacing w:after="160"/>
      </w:pPr>
      <w:r>
        <w:t xml:space="preserve"/>
      </w:r>
    </w:p>
    <w:p>
      <w:pPr>
        <w:pStyle w:val="Heading2"/>
      </w:pPr>
      <w:r>
        <w:rPr>
          <w:rFonts w:ascii="Arial" w:cs="Arial" w:eastAsia="Arial" w:hAnsi="Arial"/>
          <w:b/>
          <w:bCs/>
          <w:sz w:val="26"/>
          <w:szCs w:val="26"/>
        </w:rPr>
        <w:t xml:space="preserve">5.2 Pro Subscription</w:t>
      </w:r>
    </w:p>
    <w:p>
      <w:pPr>
        <w:spacing w:after="160"/>
      </w:pPr>
      <w:r>
        <w:rPr>
          <w:rFonts w:ascii="Arial" w:cs="Arial" w:eastAsia="Arial" w:hAnsi="Arial"/>
          <w:sz w:val="22"/>
          <w:szCs w:val="22"/>
        </w:rPr>
        <w:t xml:space="preserve">The Pro subscription is available at $4.99 (USD) per month (or local currency equivalent). Pro subscribers receive 500 minutes of new audio generation credits per month, access to all 6 narrator voices, and offline download capability.</w:t>
      </w:r>
    </w:p>
    <w:p>
      <w:pPr>
        <w:spacing w:after="160"/>
      </w:pPr>
      <w:r>
        <w:rPr>
          <w:rFonts w:ascii="Arial" w:cs="Arial" w:eastAsia="Arial" w:hAnsi="Arial"/>
          <w:sz w:val="22"/>
          <w:szCs w:val="22"/>
        </w:rPr>
        <w:t xml:space="preserve">Credits refresh on your monthly billing date. Unused credits expire at the end of each billing period and do not roll over.</w:t>
      </w:r>
    </w:p>
    <w:p>
      <w:pPr>
        <w:spacing w:after="160"/>
      </w:pPr>
      <w:r>
        <w:t xml:space="preserve"/>
      </w:r>
    </w:p>
    <w:p>
      <w:pPr>
        <w:pStyle w:val="Heading2"/>
      </w:pPr>
      <w:r>
        <w:rPr>
          <w:rFonts w:ascii="Arial" w:cs="Arial" w:eastAsia="Arial" w:hAnsi="Arial"/>
          <w:b/>
          <w:bCs/>
          <w:sz w:val="26"/>
          <w:szCs w:val="26"/>
        </w:rPr>
        <w:t xml:space="preserve">5.3 Billing &amp; Payment</w:t>
      </w:r>
    </w:p>
    <w:p>
      <w:pPr>
        <w:spacing w:after="160"/>
      </w:pPr>
      <w:r>
        <w:rPr>
          <w:rFonts w:ascii="Arial" w:cs="Arial" w:eastAsia="Arial" w:hAnsi="Arial"/>
          <w:sz w:val="22"/>
          <w:szCs w:val="22"/>
        </w:rPr>
        <w:t xml:space="preserve">All payments are processed securely by Stripe. Narrate does not store your payment card details. By subscribing, you authorise Stripe to charge your payment method on a recurring monthly basis until you cancel.</w:t>
      </w:r>
    </w:p>
    <w:p>
      <w:pPr>
        <w:spacing w:after="160"/>
      </w:pPr>
      <w:r>
        <w:t xml:space="preserve"/>
      </w:r>
    </w:p>
    <w:p>
      <w:pPr>
        <w:pStyle w:val="Heading2"/>
      </w:pPr>
      <w:r>
        <w:rPr>
          <w:rFonts w:ascii="Arial" w:cs="Arial" w:eastAsia="Arial" w:hAnsi="Arial"/>
          <w:b/>
          <w:bCs/>
          <w:sz w:val="26"/>
          <w:szCs w:val="26"/>
        </w:rPr>
        <w:t xml:space="preserve">5.4 Cancellation &amp; Refunds</w:t>
      </w:r>
    </w:p>
    <w:p>
      <w:pPr>
        <w:spacing w:after="160"/>
      </w:pPr>
      <w:r>
        <w:rPr>
          <w:rFonts w:ascii="Arial" w:cs="Arial" w:eastAsia="Arial" w:hAnsi="Arial"/>
          <w:sz w:val="22"/>
          <w:szCs w:val="22"/>
        </w:rPr>
        <w:t xml:space="preserve">You may cancel your Pro subscription at any time via Settings -&gt; Manage Subscription. Cancellation takes effect at the end of your current billing period. You retain Pro access and your remaining credit balance until the period ends.</w:t>
      </w:r>
    </w:p>
    <w:p>
      <w:pPr>
        <w:spacing w:after="160"/>
      </w:pPr>
      <w:r>
        <w:rPr>
          <w:rFonts w:ascii="Arial" w:cs="Arial" w:eastAsia="Arial" w:hAnsi="Arial"/>
          <w:sz w:val="22"/>
          <w:szCs w:val="22"/>
        </w:rPr>
        <w:t xml:space="preserve">We do not offer refunds for partial billing periods, except where required by applicable consumer protection law.</w:t>
      </w:r>
    </w:p>
    <w:p>
      <w:pPr>
        <w:pBdr>
          <w:left w:val="single" w:color="EAE2D9" w:sz="6"/>
        </w:pBdr>
        <w:spacing w:after="120"/>
        <w:ind w:left="360"/>
      </w:pPr>
      <w:r>
        <w:rPr>
          <w:rFonts w:ascii="Arial" w:cs="Arial" w:eastAsia="Arial" w:hAnsi="Arial"/>
          <w:i/>
          <w:iCs/>
          <w:color w:val="8E8883"/>
          <w:sz w:val="20"/>
          <w:szCs w:val="20"/>
        </w:rPr>
        <w:t xml:space="preserve">[LEGAL REVIEW] Norwegian consumer law (angrerettloven) may require a 14-day right of withdrawal for digital subscriptions. Confirm the applicable rules before launch.</w:t>
      </w:r>
    </w:p>
    <w:p>
      <w:pPr>
        <w:spacing w:after="160"/>
      </w:pPr>
      <w:r>
        <w:t xml:space="preserve"/>
      </w:r>
    </w:p>
    <w:p>
      <w:pPr>
        <w:pStyle w:val="Heading2"/>
      </w:pPr>
      <w:r>
        <w:rPr>
          <w:rFonts w:ascii="Arial" w:cs="Arial" w:eastAsia="Arial" w:hAnsi="Arial"/>
          <w:b/>
          <w:bCs/>
          <w:sz w:val="26"/>
          <w:szCs w:val="26"/>
        </w:rPr>
        <w:t xml:space="preserve">5.5 Price Changes</w:t>
      </w:r>
    </w:p>
    <w:p>
      <w:pPr>
        <w:spacing w:after="160"/>
      </w:pPr>
      <w:r>
        <w:rPr>
          <w:rFonts w:ascii="Arial" w:cs="Arial" w:eastAsia="Arial" w:hAnsi="Arial"/>
          <w:sz w:val="22"/>
          <w:szCs w:val="22"/>
        </w:rPr>
        <w:t xml:space="preserve">We reserve the right to change subscription prices. We will give you at least 30 days notice of any price increase before it takes effect. Your continued subscription after the notice period constitutes acceptance of the new price.</w:t>
      </w:r>
    </w:p>
    <w:p>
      <w:pPr>
        <w:spacing w:after="160"/>
      </w:pPr>
      <w:r>
        <w:t xml:space="preserve"/>
      </w:r>
    </w:p>
    <w:p>
      <w:pPr>
        <w:pStyle w:val="Heading1"/>
      </w:pPr>
      <w:r>
        <w:rPr>
          <w:rFonts w:ascii="Arial" w:cs="Arial" w:eastAsia="Arial" w:hAnsi="Arial"/>
          <w:b/>
          <w:bCs/>
          <w:sz w:val="32"/>
          <w:szCs w:val="32"/>
        </w:rPr>
        <w:t xml:space="preserve">6. Acceptable Use</w:t>
      </w:r>
    </w:p>
    <w:p>
      <w:pPr>
        <w:spacing w:after="160"/>
      </w:pPr>
      <w:r>
        <w:rPr>
          <w:rFonts w:ascii="Arial" w:cs="Arial" w:eastAsia="Arial" w:hAnsi="Arial"/>
          <w:sz w:val="22"/>
          <w:szCs w:val="22"/>
        </w:rPr>
        <w:t xml:space="preserve">You agree not to:</w:t>
      </w:r>
    </w:p>
    <w:p>
      <w:pPr>
        <w:pStyle w:val="ListParagraph"/>
        <w:numPr>
          <w:ilvl w:val="0"/>
          <w:numId w:val="2"/>
        </w:numPr>
        <w:spacing w:after="80"/>
      </w:pPr>
      <w:r>
        <w:rPr>
          <w:rFonts w:ascii="Arial" w:cs="Arial" w:eastAsia="Arial" w:hAnsi="Arial"/>
          <w:sz w:val="22"/>
          <w:szCs w:val="22"/>
        </w:rPr>
        <w:t xml:space="preserve">Use the Service to circumvent paywalls, DRM systems, or other access controls.</w:t>
      </w:r>
    </w:p>
    <w:p>
      <w:pPr>
        <w:pStyle w:val="ListParagraph"/>
        <w:numPr>
          <w:ilvl w:val="0"/>
          <w:numId w:val="2"/>
        </w:numPr>
        <w:spacing w:after="80"/>
      </w:pPr>
      <w:r>
        <w:rPr>
          <w:rFonts w:ascii="Arial" w:cs="Arial" w:eastAsia="Arial" w:hAnsi="Arial"/>
          <w:sz w:val="22"/>
          <w:szCs w:val="22"/>
        </w:rPr>
        <w:t xml:space="preserve">Attempt to reverse-engineer, scrape, or extract the AI models or voice data used by the Service.</w:t>
      </w:r>
    </w:p>
    <w:p>
      <w:pPr>
        <w:pStyle w:val="ListParagraph"/>
        <w:numPr>
          <w:ilvl w:val="0"/>
          <w:numId w:val="2"/>
        </w:numPr>
        <w:spacing w:after="80"/>
      </w:pPr>
      <w:r>
        <w:rPr>
          <w:rFonts w:ascii="Arial" w:cs="Arial" w:eastAsia="Arial" w:hAnsi="Arial"/>
          <w:sz w:val="22"/>
          <w:szCs w:val="22"/>
        </w:rPr>
        <w:t xml:space="preserve">Use automated means to submit content in bulk or to abuse the credit system.</w:t>
      </w:r>
    </w:p>
    <w:p>
      <w:pPr>
        <w:pStyle w:val="ListParagraph"/>
        <w:numPr>
          <w:ilvl w:val="0"/>
          <w:numId w:val="2"/>
        </w:numPr>
        <w:spacing w:after="80"/>
      </w:pPr>
      <w:r>
        <w:rPr>
          <w:rFonts w:ascii="Arial" w:cs="Arial" w:eastAsia="Arial" w:hAnsi="Arial"/>
          <w:sz w:val="22"/>
          <w:szCs w:val="22"/>
        </w:rPr>
        <w:t xml:space="preserve">Share account credentials with other users.</w:t>
      </w:r>
    </w:p>
    <w:p>
      <w:pPr>
        <w:pStyle w:val="ListParagraph"/>
        <w:numPr>
          <w:ilvl w:val="0"/>
          <w:numId w:val="2"/>
        </w:numPr>
        <w:spacing w:after="80"/>
      </w:pPr>
      <w:r>
        <w:rPr>
          <w:rFonts w:ascii="Arial" w:cs="Arial" w:eastAsia="Arial" w:hAnsi="Arial"/>
          <w:sz w:val="22"/>
          <w:szCs w:val="22"/>
        </w:rPr>
        <w:t xml:space="preserve">Use the Service in any way that violates applicable law.</w:t>
      </w:r>
    </w:p>
    <w:p>
      <w:pPr>
        <w:spacing w:after="160"/>
      </w:pPr>
      <w:r>
        <w:t xml:space="preserve"/>
      </w:r>
    </w:p>
    <w:p>
      <w:pPr>
        <w:pStyle w:val="Heading1"/>
      </w:pPr>
      <w:r>
        <w:rPr>
          <w:rFonts w:ascii="Arial" w:cs="Arial" w:eastAsia="Arial" w:hAnsi="Arial"/>
          <w:b/>
          <w:bCs/>
          <w:sz w:val="32"/>
          <w:szCs w:val="32"/>
        </w:rPr>
        <w:t xml:space="preserve">7. Privacy Policy</w:t>
      </w:r>
    </w:p>
    <w:p>
      <w:pPr>
        <w:pStyle w:val="Heading2"/>
      </w:pPr>
      <w:r>
        <w:rPr>
          <w:rFonts w:ascii="Arial" w:cs="Arial" w:eastAsia="Arial" w:hAnsi="Arial"/>
          <w:b/>
          <w:bCs/>
          <w:sz w:val="26"/>
          <w:szCs w:val="26"/>
        </w:rPr>
        <w:t xml:space="preserve">7.1 Data Controller</w:t>
      </w:r>
    </w:p>
    <w:p>
      <w:pPr>
        <w:spacing w:after="160"/>
      </w:pPr>
      <w:r>
        <w:rPr>
          <w:rFonts w:ascii="Arial" w:cs="Arial" w:eastAsia="Arial" w:hAnsi="Arial"/>
          <w:sz w:val="22"/>
          <w:szCs w:val="22"/>
        </w:rPr>
        <w:t xml:space="preserve">The data controller for the purposes of the General Data Protection Regulation (GDPR) is: [INSERT LEGAL ENTITY NAME], [INSERT ADDRESS], Norway. Contact: [INSERT PRIVACY EMAIL].</w:t>
      </w:r>
    </w:p>
    <w:p>
      <w:pPr>
        <w:spacing w:after="160"/>
      </w:pPr>
      <w:r>
        <w:t xml:space="preserve"/>
      </w:r>
    </w:p>
    <w:p>
      <w:pPr>
        <w:pStyle w:val="Heading2"/>
      </w:pPr>
      <w:r>
        <w:rPr>
          <w:rFonts w:ascii="Arial" w:cs="Arial" w:eastAsia="Arial" w:hAnsi="Arial"/>
          <w:b/>
          <w:bCs/>
          <w:sz w:val="26"/>
          <w:szCs w:val="26"/>
        </w:rPr>
        <w:t xml:space="preserve">7.2 Data We Collect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67B5C" w:sz="1"/>
              <w:left w:val="single" w:color="C67B5C" w:sz="1"/>
              <w:bottom w:val="single" w:color="C67B5C" w:sz="1"/>
              <w:right w:val="single" w:color="C67B5C" w:sz="1"/>
            </w:tcBorders>
            <w:shd w:fill="F7F3F0" w:val="clear"/>
            <w:tcMar>
              <w:top w:type="dxa" w:w="80"/>
              <w:left w:type="dxa" w:w="120"/>
              <w:bottom w:type="dxa" w:w="80"/>
              <w:right w:type="dxa" w:w="120"/>
            </w:tcMar>
          </w:tcPr>
          <w:p>
            <w:r>
              <w:rPr>
                <w:rFonts w:ascii="Arial" w:cs="Arial" w:eastAsia="Arial" w:hAnsi="Arial"/>
                <w:b/>
                <w:bCs/>
                <w:sz w:val="20"/>
                <w:szCs w:val="20"/>
              </w:rPr>
              <w:t xml:space="preserve">Data Type</w:t>
            </w:r>
          </w:p>
        </w:tc>
        <w:tc>
          <w:tcPr>
            <w:tcW w:type="dxa" w:w="3480"/>
            <w:tcBorders>
              <w:top w:val="single" w:color="C67B5C" w:sz="1"/>
              <w:left w:val="single" w:color="C67B5C" w:sz="1"/>
              <w:bottom w:val="single" w:color="C67B5C" w:sz="1"/>
              <w:right w:val="single" w:color="C67B5C" w:sz="1"/>
            </w:tcBorders>
            <w:shd w:fill="F7F3F0"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3480"/>
            <w:tcBorders>
              <w:top w:val="single" w:color="C67B5C" w:sz="1"/>
              <w:left w:val="single" w:color="C67B5C" w:sz="1"/>
              <w:bottom w:val="single" w:color="C67B5C" w:sz="1"/>
              <w:right w:val="single" w:color="C67B5C" w:sz="1"/>
            </w:tcBorders>
            <w:shd w:fill="F7F3F0" w:val="clear"/>
            <w:tcMar>
              <w:top w:type="dxa" w:w="80"/>
              <w:left w:type="dxa" w:w="120"/>
              <w:bottom w:type="dxa" w:w="80"/>
              <w:right w:type="dxa" w:w="120"/>
            </w:tcMar>
          </w:tcPr>
          <w:p>
            <w:r>
              <w:rPr>
                <w:rFonts w:ascii="Arial" w:cs="Arial" w:eastAsia="Arial" w:hAnsi="Arial"/>
                <w:b/>
                <w:bCs/>
                <w:sz w:val="20"/>
                <w:szCs w:val="20"/>
              </w:rPr>
              <w:t xml:space="preserve">Legal Basis (GDPR)</w:t>
            </w:r>
          </w:p>
        </w:tc>
      </w:tr>
      <w:tr>
        <w:tc>
          <w:tcPr>
            <w:tcW w:type="dxa" w:w="2400"/>
            <w:tcBorders>
              <w:top w:val="single" w:color="CCCCCC" w:sz="1"/>
              <w:left w:val="single" w:color="CCCCCC" w:sz="1"/>
              <w:bottom w:val="single" w:color="CCCCCC" w:sz="1"/>
              <w:right w:val="single" w:color="CCCCCC" w:sz="1"/>
            </w:tcBorders>
            <w:shd w:fill="F7F3F0" w:val="clear"/>
            <w:tcMar>
              <w:top w:type="dxa" w:w="80"/>
              <w:left w:type="dxa" w:w="120"/>
              <w:bottom w:type="dxa" w:w="80"/>
              <w:right w:type="dxa" w:w="120"/>
            </w:tcMar>
          </w:tcPr>
          <w:p>
            <w:r>
              <w:rPr>
                <w:rFonts w:ascii="Arial" w:cs="Arial" w:eastAsia="Arial" w:hAnsi="Arial"/>
                <w:sz w:val="20"/>
                <w:szCs w:val="20"/>
              </w:rPr>
              <w:t xml:space="preserve">Account info (name, email)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 account management.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 performance (Art. 6.1.b)</w:t>
            </w:r>
          </w:p>
        </w:tc>
      </w:tr>
      <w:tr>
        <w:tc>
          <w:tcPr>
            <w:tcW w:type="dxa" w:w="2400"/>
            <w:tcBorders>
              <w:top w:val="single" w:color="CCCCCC" w:sz="1"/>
              <w:left w:val="single" w:color="CCCCCC" w:sz="1"/>
              <w:bottom w:val="single" w:color="CCCCCC" w:sz="1"/>
              <w:right w:val="single" w:color="CCCCCC" w:sz="1"/>
            </w:tcBorders>
            <w:shd w:fill="F7F3F0" w:val="clear"/>
            <w:tcMar>
              <w:top w:type="dxa" w:w="80"/>
              <w:left w:type="dxa" w:w="120"/>
              <w:bottom w:type="dxa" w:w="80"/>
              <w:right w:type="dxa" w:w="120"/>
            </w:tcMar>
          </w:tcPr>
          <w:p>
            <w:r>
              <w:rPr>
                <w:rFonts w:ascii="Arial" w:cs="Arial" w:eastAsia="Arial" w:hAnsi="Arial"/>
                <w:sz w:val="20"/>
                <w:szCs w:val="20"/>
              </w:rPr>
              <w:t xml:space="preserve">Submitted content (URLs, PDFs, text)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 generation. content_raw deleted after processing.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 performance (Art. 6.1.b)</w:t>
            </w:r>
          </w:p>
        </w:tc>
      </w:tr>
      <w:tr>
        <w:tc>
          <w:tcPr>
            <w:tcW w:type="dxa" w:w="2400"/>
            <w:tcBorders>
              <w:top w:val="single" w:color="CCCCCC" w:sz="1"/>
              <w:left w:val="single" w:color="CCCCCC" w:sz="1"/>
              <w:bottom w:val="single" w:color="CCCCCC" w:sz="1"/>
              <w:right w:val="single" w:color="CCCCCC" w:sz="1"/>
            </w:tcBorders>
            <w:shd w:fill="F7F3F0" w:val="clear"/>
            <w:tcMar>
              <w:top w:type="dxa" w:w="80"/>
              <w:left w:type="dxa" w:w="120"/>
              <w:bottom w:type="dxa" w:w="80"/>
              <w:right w:type="dxa" w:w="120"/>
            </w:tcMar>
          </w:tcPr>
          <w:p>
            <w:r>
              <w:rPr>
                <w:rFonts w:ascii="Arial" w:cs="Arial" w:eastAsia="Arial" w:hAnsi="Arial"/>
                <w:sz w:val="20"/>
                <w:szCs w:val="20"/>
              </w:rPr>
              <w:t xml:space="preserve">Audio files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 library playback.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 performance (Art. 6.1.b)</w:t>
            </w:r>
          </w:p>
        </w:tc>
      </w:tr>
      <w:tr>
        <w:tc>
          <w:tcPr>
            <w:tcW w:type="dxa" w:w="2400"/>
            <w:tcBorders>
              <w:top w:val="single" w:color="CCCCCC" w:sz="1"/>
              <w:left w:val="single" w:color="CCCCCC" w:sz="1"/>
              <w:bottom w:val="single" w:color="CCCCCC" w:sz="1"/>
              <w:right w:val="single" w:color="CCCCCC" w:sz="1"/>
            </w:tcBorders>
            <w:shd w:fill="F7F3F0" w:val="clear"/>
            <w:tcMar>
              <w:top w:type="dxa" w:w="80"/>
              <w:left w:type="dxa" w:w="120"/>
              <w:bottom w:type="dxa" w:w="80"/>
              <w:right w:type="dxa" w:w="120"/>
            </w:tcMar>
          </w:tcPr>
          <w:p>
            <w:r>
              <w:rPr>
                <w:rFonts w:ascii="Arial" w:cs="Arial" w:eastAsia="Arial" w:hAnsi="Arial"/>
                <w:sz w:val="20"/>
                <w:szCs w:val="20"/>
              </w:rPr>
              <w:t xml:space="preserve">Playback position &amp; progress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Resume playback, sync across devices.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Legitimate interest (Art. 6.1.f)</w:t>
            </w:r>
          </w:p>
        </w:tc>
      </w:tr>
      <w:tr>
        <w:tc>
          <w:tcPr>
            <w:tcW w:type="dxa" w:w="2400"/>
            <w:tcBorders>
              <w:top w:val="single" w:color="CCCCCC" w:sz="1"/>
              <w:left w:val="single" w:color="CCCCCC" w:sz="1"/>
              <w:bottom w:val="single" w:color="CCCCCC" w:sz="1"/>
              <w:right w:val="single" w:color="CCCCCC" w:sz="1"/>
            </w:tcBorders>
            <w:shd w:fill="F7F3F0" w:val="clear"/>
            <w:tcMar>
              <w:top w:type="dxa" w:w="80"/>
              <w:left w:type="dxa" w:w="120"/>
              <w:bottom w:type="dxa" w:w="80"/>
              <w:right w:type="dxa" w:w="120"/>
            </w:tcMar>
          </w:tcPr>
          <w:p>
            <w:r>
              <w:rPr>
                <w:rFonts w:ascii="Arial" w:cs="Arial" w:eastAsia="Arial" w:hAnsi="Arial"/>
                <w:sz w:val="20"/>
                <w:szCs w:val="20"/>
              </w:rPr>
              <w:t xml:space="preserve">Billing data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Subscription management via Stripe.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 performance + legal obligation</w:t>
            </w:r>
          </w:p>
        </w:tc>
      </w:tr>
    </w:tbl>
    <w:p>
      <w:pPr>
        <w:spacing w:after="160"/>
      </w:pPr>
      <w:r>
        <w:t xml:space="preserve"/>
      </w:r>
    </w:p>
    <w:p>
      <w:pPr>
        <w:pStyle w:val="Heading2"/>
      </w:pPr>
      <w:r>
        <w:rPr>
          <w:rFonts w:ascii="Arial" w:cs="Arial" w:eastAsia="Arial" w:hAnsi="Arial"/>
          <w:b/>
          <w:bCs/>
          <w:sz w:val="26"/>
          <w:szCs w:val="26"/>
        </w:rPr>
        <w:t xml:space="preserve">7.3 Data Storage &amp; International Transfers</w:t>
      </w:r>
    </w:p>
    <w:p>
      <w:pPr>
        <w:spacing w:after="160"/>
      </w:pPr>
      <w:r>
        <w:rPr>
          <w:rFonts w:ascii="Arial" w:cs="Arial" w:eastAsia="Arial" w:hAnsi="Arial"/>
          <w:sz w:val="22"/>
          <w:szCs w:val="22"/>
        </w:rPr>
        <w:t xml:space="preserve">All personal data is stored on Supabase infrastructure located in the EU (Frankfurt, Germany). AI processing (text analysis and audio generation) is performed on Modal.com's serverless infrastructure. Modal processes data transiently and does not retain your content after processing is complete.</w:t>
      </w:r>
    </w:p>
    <w:p>
      <w:pPr>
        <w:spacing w:after="160"/>
      </w:pPr>
      <w:r>
        <w:rPr>
          <w:rFonts w:ascii="Arial" w:cs="Arial" w:eastAsia="Arial" w:hAnsi="Arial"/>
          <w:sz w:val="22"/>
          <w:szCs w:val="22"/>
        </w:rPr>
        <w:t xml:space="preserve">Stripe, our payment processor, is located in the United States. Stripe operates under Standard Contractual Clauses (SCCs) approved by the European Commission for EU-US data transfers.</w:t>
      </w:r>
    </w:p>
    <w:p>
      <w:pPr>
        <w:pBdr>
          <w:left w:val="single" w:color="EAE2D9" w:sz="6"/>
        </w:pBdr>
        <w:spacing w:after="120"/>
        <w:ind w:left="360"/>
      </w:pPr>
      <w:r>
        <w:rPr>
          <w:rFonts w:ascii="Arial" w:cs="Arial" w:eastAsia="Arial" w:hAnsi="Arial"/>
          <w:i/>
          <w:iCs/>
          <w:color w:val="8E8883"/>
          <w:sz w:val="20"/>
          <w:szCs w:val="20"/>
        </w:rPr>
        <w:t xml:space="preserve">[LEGAL REVIEW] Confirm that all third-party processors (Supabase, Modal, Stripe) have current Data Processing Agreements (DPAs) in place before launch.</w:t>
      </w:r>
    </w:p>
    <w:p>
      <w:pPr>
        <w:spacing w:after="160"/>
      </w:pPr>
      <w:r>
        <w:t xml:space="preserve"/>
      </w:r>
    </w:p>
    <w:p>
      <w:pPr>
        <w:pStyle w:val="Heading2"/>
      </w:pPr>
      <w:r>
        <w:rPr>
          <w:rFonts w:ascii="Arial" w:cs="Arial" w:eastAsia="Arial" w:hAnsi="Arial"/>
          <w:b/>
          <w:bCs/>
          <w:sz w:val="26"/>
          <w:szCs w:val="26"/>
        </w:rPr>
        <w:t xml:space="preserve">7.4 Data Retention</w:t>
      </w:r>
    </w:p>
    <w:p>
      <w:pPr>
        <w:pStyle w:val="ListParagraph"/>
        <w:numPr>
          <w:ilvl w:val="0"/>
          <w:numId w:val="2"/>
        </w:numPr>
        <w:spacing w:after="80"/>
      </w:pPr>
      <w:r>
        <w:rPr>
          <w:rFonts w:ascii="Arial" w:cs="Arial" w:eastAsia="Arial" w:hAnsi="Arial"/>
          <w:sz w:val="22"/>
          <w:szCs w:val="22"/>
        </w:rPr>
        <w:t xml:space="preserve">content_raw (raw scraped text): Deleted after audio generation is confirmed complete.</w:t>
      </w:r>
    </w:p>
    <w:p>
      <w:pPr>
        <w:pStyle w:val="ListParagraph"/>
        <w:numPr>
          <w:ilvl w:val="0"/>
          <w:numId w:val="2"/>
        </w:numPr>
        <w:spacing w:after="80"/>
      </w:pPr>
      <w:r>
        <w:rPr>
          <w:rFonts w:ascii="Arial" w:cs="Arial" w:eastAsia="Arial" w:hAnsi="Arial"/>
          <w:sz w:val="22"/>
          <w:szCs w:val="22"/>
        </w:rPr>
        <w:t xml:space="preserve">Audio files: Retained until you delete the narration or your account.</w:t>
      </w:r>
    </w:p>
    <w:p>
      <w:pPr>
        <w:pStyle w:val="ListParagraph"/>
        <w:numPr>
          <w:ilvl w:val="0"/>
          <w:numId w:val="2"/>
        </w:numPr>
        <w:spacing w:after="80"/>
      </w:pPr>
      <w:r>
        <w:rPr>
          <w:rFonts w:ascii="Arial" w:cs="Arial" w:eastAsia="Arial" w:hAnsi="Arial"/>
          <w:sz w:val="22"/>
          <w:szCs w:val="22"/>
        </w:rPr>
        <w:t xml:space="preserve">Account and profile data: Retained while your account is active. Permanently deleted within 30 days of account closure.</w:t>
      </w:r>
    </w:p>
    <w:p>
      <w:pPr>
        <w:pStyle w:val="ListParagraph"/>
        <w:numPr>
          <w:ilvl w:val="0"/>
          <w:numId w:val="2"/>
        </w:numPr>
        <w:spacing w:after="80"/>
      </w:pPr>
      <w:r>
        <w:rPr>
          <w:rFonts w:ascii="Arial" w:cs="Arial" w:eastAsia="Arial" w:hAnsi="Arial"/>
          <w:sz w:val="22"/>
          <w:szCs w:val="22"/>
        </w:rPr>
        <w:t xml:space="preserve">Billing records: Retained for 5 years as required by Norwegian accounting law (bokforingsloven).</w:t>
      </w:r>
    </w:p>
    <w:p>
      <w:pPr>
        <w:spacing w:after="160"/>
      </w:pPr>
      <w:r>
        <w:t xml:space="preserve"/>
      </w:r>
    </w:p>
    <w:p>
      <w:pPr>
        <w:pStyle w:val="Heading2"/>
      </w:pPr>
      <w:r>
        <w:rPr>
          <w:rFonts w:ascii="Arial" w:cs="Arial" w:eastAsia="Arial" w:hAnsi="Arial"/>
          <w:b/>
          <w:bCs/>
          <w:sz w:val="26"/>
          <w:szCs w:val="26"/>
        </w:rPr>
        <w:t xml:space="preserve">7.5 Your Rights Under GDPR</w:t>
      </w:r>
    </w:p>
    <w:p>
      <w:pPr>
        <w:spacing w:after="160"/>
      </w:pPr>
      <w:r>
        <w:rPr>
          <w:rFonts w:ascii="Arial" w:cs="Arial" w:eastAsia="Arial" w:hAnsi="Arial"/>
          <w:sz w:val="22"/>
          <w:szCs w:val="22"/>
        </w:rPr>
        <w:t xml:space="preserve">As a data subject under the GDPR, you have the following rights:</w:t>
      </w:r>
    </w:p>
    <w:p>
      <w:pPr>
        <w:pStyle w:val="ListParagraph"/>
        <w:numPr>
          <w:ilvl w:val="0"/>
          <w:numId w:val="2"/>
        </w:numPr>
        <w:spacing w:after="80"/>
      </w:pPr>
      <w:r>
        <w:rPr>
          <w:rFonts w:ascii="Arial" w:cs="Arial" w:eastAsia="Arial" w:hAnsi="Arial"/>
          <w:sz w:val="22"/>
          <w:szCs w:val="22"/>
        </w:rPr>
        <w:t xml:space="preserve">Right of access (Art. 15): Request a copy of all personal data we hold about you. Use Settings -&gt; Export my data.</w:t>
      </w:r>
    </w:p>
    <w:p>
      <w:pPr>
        <w:pStyle w:val="ListParagraph"/>
        <w:numPr>
          <w:ilvl w:val="0"/>
          <w:numId w:val="2"/>
        </w:numPr>
        <w:spacing w:after="80"/>
      </w:pPr>
      <w:r>
        <w:rPr>
          <w:rFonts w:ascii="Arial" w:cs="Arial" w:eastAsia="Arial" w:hAnsi="Arial"/>
          <w:sz w:val="22"/>
          <w:szCs w:val="22"/>
        </w:rPr>
        <w:t xml:space="preserve">Right to rectification (Art. 16): Request correction of inaccurate personal data.</w:t>
      </w:r>
    </w:p>
    <w:p>
      <w:pPr>
        <w:pStyle w:val="ListParagraph"/>
        <w:numPr>
          <w:ilvl w:val="0"/>
          <w:numId w:val="2"/>
        </w:numPr>
        <w:spacing w:after="80"/>
      </w:pPr>
      <w:r>
        <w:rPr>
          <w:rFonts w:ascii="Arial" w:cs="Arial" w:eastAsia="Arial" w:hAnsi="Arial"/>
          <w:sz w:val="22"/>
          <w:szCs w:val="22"/>
        </w:rPr>
        <w:t xml:space="preserve">Right to erasure (Art. 17): Request deletion of your account and all associated data. Use Settings -&gt; Delete Account.</w:t>
      </w:r>
    </w:p>
    <w:p>
      <w:pPr>
        <w:pStyle w:val="ListParagraph"/>
        <w:numPr>
          <w:ilvl w:val="0"/>
          <w:numId w:val="2"/>
        </w:numPr>
        <w:spacing w:after="80"/>
      </w:pPr>
      <w:r>
        <w:rPr>
          <w:rFonts w:ascii="Arial" w:cs="Arial" w:eastAsia="Arial" w:hAnsi="Arial"/>
          <w:sz w:val="22"/>
          <w:szCs w:val="22"/>
        </w:rPr>
        <w:t xml:space="preserve">Right to data portability (Art. 20): Receive your data in a machine-readable format (JSON export).</w:t>
      </w:r>
    </w:p>
    <w:p>
      <w:pPr>
        <w:pStyle w:val="ListParagraph"/>
        <w:numPr>
          <w:ilvl w:val="0"/>
          <w:numId w:val="2"/>
        </w:numPr>
        <w:spacing w:after="80"/>
      </w:pPr>
      <w:r>
        <w:rPr>
          <w:rFonts w:ascii="Arial" w:cs="Arial" w:eastAsia="Arial" w:hAnsi="Arial"/>
          <w:sz w:val="22"/>
          <w:szCs w:val="22"/>
        </w:rPr>
        <w:t xml:space="preserve">Right to object (Art. 21): Object to processing based on legitimate interest.</w:t>
      </w:r>
    </w:p>
    <w:p>
      <w:pPr>
        <w:pStyle w:val="ListParagraph"/>
        <w:numPr>
          <w:ilvl w:val="0"/>
          <w:numId w:val="2"/>
        </w:numPr>
        <w:spacing w:after="80"/>
      </w:pPr>
      <w:r>
        <w:rPr>
          <w:rFonts w:ascii="Arial" w:cs="Arial" w:eastAsia="Arial" w:hAnsi="Arial"/>
          <w:sz w:val="22"/>
          <w:szCs w:val="22"/>
        </w:rPr>
        <w:t xml:space="preserve">Right to lodge a complaint: You have the right to complain to the Norwegian Data Protection Authority (Datatilsynet) at www.datatilsynet.no.</w:t>
      </w:r>
    </w:p>
    <w:p>
      <w:pPr>
        <w:spacing w:after="160"/>
      </w:pPr>
      <w:r>
        <w:t xml:space="preserve"/>
      </w:r>
    </w:p>
    <w:p>
      <w:pPr>
        <w:spacing w:after="160"/>
      </w:pPr>
      <w:r>
        <w:rPr>
          <w:rFonts w:ascii="Arial" w:cs="Arial" w:eastAsia="Arial" w:hAnsi="Arial"/>
          <w:sz w:val="22"/>
          <w:szCs w:val="22"/>
        </w:rPr>
        <w:t xml:space="preserve">To exercise any of these rights, contact us at [INSERT PRIVACY EMAIL]. We will respond within 30 days.</w:t>
      </w:r>
    </w:p>
    <w:p>
      <w:pPr>
        <w:spacing w:after="160"/>
      </w:pPr>
      <w:r>
        <w:t xml:space="preserve"/>
      </w:r>
    </w:p>
    <w:p>
      <w:pPr>
        <w:pStyle w:val="Heading2"/>
      </w:pPr>
      <w:r>
        <w:rPr>
          <w:rFonts w:ascii="Arial" w:cs="Arial" w:eastAsia="Arial" w:hAnsi="Arial"/>
          <w:b/>
          <w:bCs/>
          <w:sz w:val="26"/>
          <w:szCs w:val="26"/>
        </w:rPr>
        <w:t xml:space="preserve">7.6 Cookies &amp; Analytics</w:t>
      </w:r>
    </w:p>
    <w:p>
      <w:pPr>
        <w:spacing w:after="160"/>
      </w:pPr>
      <w:r>
        <w:rPr>
          <w:rFonts w:ascii="Arial" w:cs="Arial" w:eastAsia="Arial" w:hAnsi="Arial"/>
          <w:sz w:val="22"/>
          <w:szCs w:val="22"/>
        </w:rPr>
        <w:t xml:space="preserve">The Narrate web application uses only strictly necessary cookies for authentication sessions. We do not use third-party advertising or tracking cookies. If we introduce optional analytics in the future, we will seek your explicit consent before activation.</w:t>
      </w:r>
    </w:p>
    <w:p>
      <w:pPr>
        <w:spacing w:after="160"/>
      </w:pPr>
      <w:r>
        <w:t xml:space="preserve"/>
      </w:r>
    </w:p>
    <w:p>
      <w:pPr>
        <w:pStyle w:val="Heading1"/>
      </w:pPr>
      <w:r>
        <w:rPr>
          <w:rFonts w:ascii="Arial" w:cs="Arial" w:eastAsia="Arial" w:hAnsi="Arial"/>
          <w:b/>
          <w:bCs/>
          <w:sz w:val="32"/>
          <w:szCs w:val="32"/>
        </w:rPr>
        <w:t xml:space="preserve">8. Disclaimers &amp; Limitation of Liability</w:t>
      </w:r>
    </w:p>
    <w:p>
      <w:pPr>
        <w:pStyle w:val="Heading2"/>
      </w:pPr>
      <w:r>
        <w:rPr>
          <w:rFonts w:ascii="Arial" w:cs="Arial" w:eastAsia="Arial" w:hAnsi="Arial"/>
          <w:b/>
          <w:bCs/>
          <w:sz w:val="26"/>
          <w:szCs w:val="26"/>
        </w:rPr>
        <w:t xml:space="preserve">8.1 Service Availability</w:t>
      </w:r>
    </w:p>
    <w:p>
      <w:pPr>
        <w:spacing w:after="160"/>
      </w:pPr>
      <w:r>
        <w:rPr>
          <w:rFonts w:ascii="Arial" w:cs="Arial" w:eastAsia="Arial" w:hAnsi="Arial"/>
          <w:sz w:val="22"/>
          <w:szCs w:val="22"/>
        </w:rPr>
        <w:t xml:space="preserve">We provide the Service on an as is and as available basis. We do not guarantee uninterrupted availability. AI generation may occasionally fail or produce imperfect results. We will make reasonable efforts to maintain service quality but do not warrant any specific uptime.</w:t>
      </w:r>
    </w:p>
    <w:p>
      <w:pPr>
        <w:spacing w:after="160"/>
      </w:pPr>
      <w:r>
        <w:t xml:space="preserve"/>
      </w:r>
    </w:p>
    <w:p>
      <w:pPr>
        <w:pStyle w:val="Heading2"/>
      </w:pPr>
      <w:r>
        <w:rPr>
          <w:rFonts w:ascii="Arial" w:cs="Arial" w:eastAsia="Arial" w:hAnsi="Arial"/>
          <w:b/>
          <w:bCs/>
          <w:sz w:val="26"/>
          <w:szCs w:val="26"/>
        </w:rPr>
        <w:t xml:space="preserve">8.2 Limitation of Liability</w:t>
      </w:r>
    </w:p>
    <w:p>
      <w:pPr>
        <w:spacing w:after="160"/>
      </w:pPr>
      <w:r>
        <w:rPr>
          <w:rFonts w:ascii="Arial" w:cs="Arial" w:eastAsia="Arial" w:hAnsi="Arial"/>
          <w:sz w:val="22"/>
          <w:szCs w:val="22"/>
        </w:rPr>
        <w:t xml:space="preserve">To the maximum extent permitted by applicable law, Narrate shall not be liable for any indirect, incidental, special, or consequential damages arising out of your use of the Service, including loss of data, loss of profits, or business interruption.</w:t>
      </w:r>
    </w:p>
    <w:p>
      <w:pPr>
        <w:spacing w:after="160"/>
      </w:pPr>
      <w:r>
        <w:rPr>
          <w:rFonts w:ascii="Arial" w:cs="Arial" w:eastAsia="Arial" w:hAnsi="Arial"/>
          <w:sz w:val="22"/>
          <w:szCs w:val="22"/>
        </w:rPr>
        <w:t xml:space="preserve">Our total liability to you for any claim arising out of or relating to these Terms shall not exceed the amount you paid to us in the 12 months preceding the claim.</w:t>
      </w:r>
    </w:p>
    <w:p>
      <w:pPr>
        <w:pBdr>
          <w:left w:val="single" w:color="EAE2D9" w:sz="6"/>
        </w:pBdr>
        <w:spacing w:after="120"/>
        <w:ind w:left="360"/>
      </w:pPr>
      <w:r>
        <w:rPr>
          <w:rFonts w:ascii="Arial" w:cs="Arial" w:eastAsia="Arial" w:hAnsi="Arial"/>
          <w:i/>
          <w:iCs/>
          <w:color w:val="8E8883"/>
          <w:sz w:val="20"/>
          <w:szCs w:val="20"/>
        </w:rPr>
        <w:t xml:space="preserve">[LEGAL REVIEW] Limitation of liability clauses may be restricted by Norwegian consumer law. Confirm the maximum permissible limitation before launch.</w:t>
      </w:r>
    </w:p>
    <w:p>
      <w:pPr>
        <w:spacing w:after="160"/>
      </w:pPr>
      <w:r>
        <w:t xml:space="preserve"/>
      </w:r>
    </w:p>
    <w:p>
      <w:pPr>
        <w:pStyle w:val="Heading2"/>
      </w:pPr>
      <w:r>
        <w:rPr>
          <w:rFonts w:ascii="Arial" w:cs="Arial" w:eastAsia="Arial" w:hAnsi="Arial"/>
          <w:b/>
          <w:bCs/>
          <w:sz w:val="26"/>
          <w:szCs w:val="26"/>
        </w:rPr>
        <w:t xml:space="preserve">8.3 Copyright Indemnification</w:t>
      </w:r>
    </w:p>
    <w:p>
      <w:pPr>
        <w:spacing w:after="160"/>
      </w:pPr>
      <w:r>
        <w:rPr>
          <w:rFonts w:ascii="Arial" w:cs="Arial" w:eastAsia="Arial" w:hAnsi="Arial"/>
          <w:sz w:val="22"/>
          <w:szCs w:val="22"/>
        </w:rPr>
        <w:t xml:space="preserve">You agree to indemnify and hold harmless Narrate and its officers, directors, and employees from any claims, damages, or expenses (including reasonable legal fees) arising from your submission of content that infringes third-party intellectual property rights.</w:t>
      </w:r>
    </w:p>
    <w:p>
      <w:pPr>
        <w:spacing w:after="160"/>
      </w:pPr>
      <w:r>
        <w:t xml:space="preserve"/>
      </w:r>
    </w:p>
    <w:p>
      <w:pPr>
        <w:pStyle w:val="Heading1"/>
      </w:pPr>
      <w:r>
        <w:rPr>
          <w:rFonts w:ascii="Arial" w:cs="Arial" w:eastAsia="Arial" w:hAnsi="Arial"/>
          <w:b/>
          <w:bCs/>
          <w:sz w:val="32"/>
          <w:szCs w:val="32"/>
        </w:rPr>
        <w:t xml:space="preserve">9. Governing Law &amp; Disputes</w:t>
      </w:r>
    </w:p>
    <w:p>
      <w:pPr>
        <w:spacing w:after="160"/>
      </w:pPr>
      <w:r>
        <w:rPr>
          <w:rFonts w:ascii="Arial" w:cs="Arial" w:eastAsia="Arial" w:hAnsi="Arial"/>
          <w:sz w:val="22"/>
          <w:szCs w:val="22"/>
        </w:rPr>
        <w:t xml:space="preserve">These Terms are governed by the laws of Norway. Any dispute arising from or relating to these Terms shall be subject to the exclusive jurisdiction of the courts of Norway.</w:t>
      </w:r>
    </w:p>
    <w:p>
      <w:pPr>
        <w:spacing w:after="160"/>
      </w:pPr>
      <w:r>
        <w:rPr>
          <w:rFonts w:ascii="Arial" w:cs="Arial" w:eastAsia="Arial" w:hAnsi="Arial"/>
          <w:sz w:val="22"/>
          <w:szCs w:val="22"/>
        </w:rPr>
        <w:t xml:space="preserve">Before initiating legal proceedings, we encourage you to contact us at [INSERT SUPPORT EMAIL] to resolve any dispute informally.</w:t>
      </w:r>
    </w:p>
    <w:p>
      <w:pPr>
        <w:pBdr>
          <w:left w:val="single" w:color="EAE2D9" w:sz="6"/>
        </w:pBdr>
        <w:spacing w:after="120"/>
        <w:ind w:left="360"/>
      </w:pPr>
      <w:r>
        <w:rPr>
          <w:rFonts w:ascii="Arial" w:cs="Arial" w:eastAsia="Arial" w:hAnsi="Arial"/>
          <w:i/>
          <w:iCs/>
          <w:color w:val="8E8883"/>
          <w:sz w:val="20"/>
          <w:szCs w:val="20"/>
        </w:rPr>
        <w:t xml:space="preserve">[LEGAL REVIEW] If you expect significant user bases in other EU countries, consider whether a multi-jurisdiction dispute resolution clause is appropriate.</w:t>
      </w:r>
    </w:p>
    <w:p>
      <w:pPr>
        <w:spacing w:after="160"/>
      </w:pPr>
      <w:r>
        <w:t xml:space="preserve"/>
      </w:r>
    </w:p>
    <w:p>
      <w:pPr>
        <w:pStyle w:val="Heading1"/>
      </w:pPr>
      <w:r>
        <w:rPr>
          <w:rFonts w:ascii="Arial" w:cs="Arial" w:eastAsia="Arial" w:hAnsi="Arial"/>
          <w:b/>
          <w:bCs/>
          <w:sz w:val="32"/>
          <w:szCs w:val="32"/>
        </w:rPr>
        <w:t xml:space="preserve">10. Contact</w:t>
      </w:r>
    </w:p>
    <w:p>
      <w:pPr>
        <w:spacing w:after="160"/>
      </w:pPr>
      <w:r>
        <w:rPr>
          <w:rFonts w:ascii="Arial" w:cs="Arial" w:eastAsia="Arial" w:hAnsi="Arial"/>
          <w:sz w:val="22"/>
          <w:szCs w:val="22"/>
        </w:rPr>
        <w:t xml:space="preserve">For questions about these Terms or our Privacy Policy:</w:t>
      </w:r>
    </w:p>
    <w:p>
      <w:pPr>
        <w:pStyle w:val="ListParagraph"/>
        <w:numPr>
          <w:ilvl w:val="0"/>
          <w:numId w:val="2"/>
        </w:numPr>
        <w:spacing w:after="80"/>
      </w:pPr>
      <w:r>
        <w:rPr>
          <w:rFonts w:ascii="Arial" w:cs="Arial" w:eastAsia="Arial" w:hAnsi="Arial"/>
          <w:sz w:val="22"/>
          <w:szCs w:val="22"/>
        </w:rPr>
        <w:t xml:space="preserve">General: [INSERT SUPPORT EMAIL]</w:t>
      </w:r>
    </w:p>
    <w:p>
      <w:pPr>
        <w:pStyle w:val="ListParagraph"/>
        <w:numPr>
          <w:ilvl w:val="0"/>
          <w:numId w:val="2"/>
        </w:numPr>
        <w:spacing w:after="80"/>
      </w:pPr>
      <w:r>
        <w:rPr>
          <w:rFonts w:ascii="Arial" w:cs="Arial" w:eastAsia="Arial" w:hAnsi="Arial"/>
          <w:sz w:val="22"/>
          <w:szCs w:val="22"/>
        </w:rPr>
        <w:t xml:space="preserve">Privacy / GDPR: [INSERT PRIVACY EMAIL]</w:t>
      </w:r>
    </w:p>
    <w:p>
      <w:pPr>
        <w:pStyle w:val="ListParagraph"/>
        <w:numPr>
          <w:ilvl w:val="0"/>
          <w:numId w:val="2"/>
        </w:numPr>
        <w:spacing w:after="80"/>
      </w:pPr>
      <w:r>
        <w:rPr>
          <w:rFonts w:ascii="Arial" w:cs="Arial" w:eastAsia="Arial" w:hAnsi="Arial"/>
          <w:sz w:val="22"/>
          <w:szCs w:val="22"/>
        </w:rPr>
        <w:t xml:space="preserve">Copyright / DMCA: [INSERT COPYRIGHT EMAIL]</w:t>
      </w:r>
    </w:p>
    <w:p>
      <w:pPr>
        <w:pStyle w:val="ListParagraph"/>
        <w:numPr>
          <w:ilvl w:val="0"/>
          <w:numId w:val="2"/>
        </w:numPr>
        <w:spacing w:after="80"/>
      </w:pPr>
      <w:r>
        <w:rPr>
          <w:rFonts w:ascii="Arial" w:cs="Arial" w:eastAsia="Arial" w:hAnsi="Arial"/>
          <w:sz w:val="22"/>
          <w:szCs w:val="22"/>
        </w:rPr>
        <w:t xml:space="preserve">Legal entity: [INSERT LEGAL ENTITY NAME], [INSERT ADDRESS], Norway</w:t>
      </w:r>
    </w:p>
    <w:p>
      <w:pPr>
        <w:spacing w:after="160"/>
      </w:pPr>
      <w:r>
        <w:t xml:space="preserve"/>
      </w:r>
    </w:p>
    <w:p>
      <w:pPr>
        <w:spacing w:after="80"/>
      </w:pPr>
      <w:r>
        <w:rPr>
          <w:rFonts w:ascii="Arial" w:cs="Arial" w:eastAsia="Arial" w:hAnsi="Arial"/>
          <w:i/>
          <w:iCs/>
          <w:color w:val="8E8883"/>
          <w:sz w:val="20"/>
          <w:szCs w:val="20"/>
        </w:rPr>
        <w:t xml:space="preserve">Last updated: [INSERT DATE]</w:t>
      </w:r>
    </w:p>
    <w:p>
      <w:r>
        <w:rPr>
          <w:rFonts w:ascii="Arial" w:cs="Arial" w:eastAsia="Arial" w:hAnsi="Arial"/>
          <w:i/>
          <w:iCs/>
          <w:color w:val="C67B5C"/>
          <w:sz w:val="20"/>
          <w:szCs w:val="20"/>
        </w:rPr>
        <w:t xml:space="preserve">This document requires legal review before publication. Placeholders marked [INSERT...] and [LEGAL REVIEW] must be completed by your legal counsel.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D2926"/>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C67B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2026-03-20T18:19:02.609Z</dcterms:created>
  <dcterms:modified xsi:type="dcterms:W3CDTF">2026-03-20T18:19:02.610Z</dcterms:modified>
</cp:coreProperties>
</file>

<file path=docProps/custom.xml><?xml version="1.0" encoding="utf-8"?>
<Properties xmlns="http://schemas.openxmlformats.org/officeDocument/2006/custom-properties" xmlns:vt="http://schemas.openxmlformats.org/officeDocument/2006/docPropsVTypes"/>
</file>