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1FCBE" w14:textId="5B2A3A5C" w:rsidR="00AA333A" w:rsidRDefault="00AA333A" w:rsidP="00FC4A57">
      <w:r>
        <w:t xml:space="preserve">8000 WwTW catchment areas, </w:t>
      </w:r>
      <w:r w:rsidR="00AA1179">
        <w:t>about 20,000 CSOs in England and Wales</w:t>
      </w:r>
    </w:p>
    <w:p w14:paraId="6FB31437" w14:textId="4D5C5366" w:rsidR="00AA1179" w:rsidRDefault="00AA1179" w:rsidP="00FC4A57">
      <w:r>
        <w:t xml:space="preserve">About 2-3 per catchment area on average. </w:t>
      </w:r>
    </w:p>
    <w:p w14:paraId="4C10388F" w14:textId="7DC55375" w:rsidR="00B44B1B" w:rsidRDefault="00B44B1B" w:rsidP="00FC4A57">
      <w:r>
        <w:t xml:space="preserve">About 35,000 LSOAs in England and Wales so likely have just </w:t>
      </w:r>
      <w:r w:rsidR="000B05DF">
        <w:t>&lt;1</w:t>
      </w:r>
      <w:r>
        <w:t xml:space="preserve"> CSO on average per LSOA.</w:t>
      </w:r>
    </w:p>
    <w:p w14:paraId="42677DFB" w14:textId="77777777" w:rsidR="000B05DF" w:rsidRDefault="000B05DF" w:rsidP="00FC4A57"/>
    <w:p w14:paraId="3256AD9C" w14:textId="297262A1" w:rsidR="000B05DF" w:rsidRDefault="000B05DF" w:rsidP="000B05DF">
      <w:pPr>
        <w:pStyle w:val="NormalWeb"/>
      </w:pPr>
      <w:r>
        <w:t>E</w:t>
      </w:r>
      <w:r>
        <w:t xml:space="preserve">levation-based shares </w:t>
      </w:r>
      <w:r>
        <w:t>are</w:t>
      </w:r>
      <w:r>
        <w:t xml:space="preserve"> a </w:t>
      </w:r>
      <w:r>
        <w:rPr>
          <w:rStyle w:val="Strong"/>
          <w:rFonts w:eastAsiaTheme="majorEastAsia"/>
        </w:rPr>
        <w:t>vulnerability proxy</w:t>
      </w:r>
      <w:r>
        <w:t>, treat it as “topographic susceptibility”, not “capacity”.</w:t>
      </w:r>
      <w:r>
        <w:t xml:space="preserve"> Cam also u</w:t>
      </w:r>
      <w:r>
        <w:t>se something monotone and interpretable, e.g.</w:t>
      </w:r>
    </w:p>
    <w:p w14:paraId="424F03B4" w14:textId="77777777" w:rsidR="000B05DF" w:rsidRDefault="000B05DF" w:rsidP="000B05DF">
      <w:pPr>
        <w:pStyle w:val="NormalWeb"/>
        <w:numPr>
          <w:ilvl w:val="0"/>
          <w:numId w:val="18"/>
        </w:numPr>
      </w:pPr>
      <m:oMath>
        <m:sSub>
          <m:sSubPr>
            <m:ctrlPr>
              <w:rPr>
                <w:rFonts w:ascii="Cambria Math" w:hAnsi="Cambria Math"/>
              </w:rPr>
            </m:ctrlPr>
          </m:sSubPr>
          <m:e>
            <m:r>
              <w:rPr>
                <w:rFonts w:ascii="Cambria Math" w:hAnsi="Cambria Math"/>
              </w:rPr>
              <m:t>s</m:t>
            </m:r>
          </m:e>
          <m:sub>
            <m:r>
              <w:rPr>
                <w:rFonts w:ascii="Cambria Math" w:hAnsi="Cambria Math"/>
              </w:rPr>
              <m:t>jc</m:t>
            </m:r>
          </m:sub>
        </m:sSub>
        <m:r>
          <w:rPr>
            <w:rFonts w:ascii="Cambria Math" w:hAnsi="Cambria Math"/>
          </w:rPr>
          <m:t>∝</m:t>
        </m:r>
        <m:r>
          <m:rPr>
            <m:sty m:val="p"/>
          </m:rPr>
          <w:rPr>
            <w:rFonts w:ascii="Cambria Math" w:hAnsi="Cambria Math"/>
          </w:rPr>
          <m:t>max</m:t>
        </m:r>
        <m:r>
          <w:rPr>
            <w:rFonts w:ascii="Cambria Math" w:hAnsi="Cambria Math"/>
          </w:rPr>
          <m:t>⁡(0,Ele</m:t>
        </m:r>
        <m:sSub>
          <m:sSubPr>
            <m:ctrlPr>
              <w:rPr>
                <w:rFonts w:ascii="Cambria Math" w:hAnsi="Cambria Math"/>
              </w:rPr>
            </m:ctrlPr>
          </m:sSubPr>
          <m:e>
            <m:r>
              <w:rPr>
                <w:rFonts w:ascii="Cambria Math" w:hAnsi="Cambria Math"/>
              </w:rPr>
              <m:t>v</m:t>
            </m:r>
          </m:e>
          <m:sub>
            <m:r>
              <w:rPr>
                <w:rFonts w:ascii="Cambria Math" w:hAnsi="Cambria Math"/>
              </w:rPr>
              <m:t>WWTW(c)</m:t>
            </m:r>
          </m:sub>
        </m:sSub>
        <m:r>
          <w:rPr>
            <w:rFonts w:ascii="Cambria Math" w:hAnsi="Cambria Math"/>
          </w:rPr>
          <m:t>-Ele</m:t>
        </m:r>
        <m:sSub>
          <m:sSubPr>
            <m:ctrlPr>
              <w:rPr>
                <w:rFonts w:ascii="Cambria Math" w:hAnsi="Cambria Math"/>
              </w:rPr>
            </m:ctrlPr>
          </m:sSubPr>
          <m:e>
            <m:r>
              <w:rPr>
                <w:rFonts w:ascii="Cambria Math" w:hAnsi="Cambria Math"/>
              </w:rPr>
              <m:t>v</m:t>
            </m:r>
          </m:e>
          <m:sub>
            <m:r>
              <w:rPr>
                <w:rFonts w:ascii="Cambria Math" w:hAnsi="Cambria Math"/>
              </w:rPr>
              <m:t>CSO(j)</m:t>
            </m:r>
          </m:sub>
        </m:sSub>
        <m:r>
          <w:rPr>
            <w:rFonts w:ascii="Cambria Math" w:hAnsi="Cambria Math"/>
          </w:rPr>
          <m:t>)</m:t>
        </m:r>
      </m:oMath>
      <w:r>
        <w:t>(i.e., “how far below works elevation”)</w:t>
      </w:r>
    </w:p>
    <w:p w14:paraId="6C4DEC8D" w14:textId="77777777" w:rsidR="000B05DF" w:rsidRDefault="000B05DF" w:rsidP="000B05DF">
      <w:pPr>
        <w:pStyle w:val="NormalWeb"/>
        <w:numPr>
          <w:ilvl w:val="0"/>
          <w:numId w:val="18"/>
        </w:numPr>
      </w:pPr>
      <w:r>
        <w:t>or “low-point score” within catchment (e.g., percentile rank of CSO elevation within catchment)</w:t>
      </w:r>
    </w:p>
    <w:p w14:paraId="0478C71A" w14:textId="77777777" w:rsidR="000B05DF" w:rsidRDefault="000B05DF" w:rsidP="000B05DF">
      <w:pPr>
        <w:pStyle w:val="NormalWeb"/>
        <w:numPr>
          <w:ilvl w:val="0"/>
          <w:numId w:val="18"/>
        </w:numPr>
      </w:pPr>
      <w:r>
        <w:t xml:space="preserve">then normalize within catchment: </w:t>
      </w:r>
      <m:oMath>
        <m:sSub>
          <m:sSubPr>
            <m:ctrlPr>
              <w:rPr>
                <w:rFonts w:ascii="Cambria Math" w:hAnsi="Cambria Math"/>
              </w:rPr>
            </m:ctrlPr>
          </m:sSubPr>
          <m:e>
            <m:r>
              <w:rPr>
                <w:rFonts w:ascii="Cambria Math" w:hAnsi="Cambria Math"/>
              </w:rPr>
              <m:t>s</m:t>
            </m:r>
          </m:e>
          <m:sub>
            <m:r>
              <w:rPr>
                <w:rFonts w:ascii="Cambria Math" w:hAnsi="Cambria Math"/>
              </w:rPr>
              <m:t>jc</m:t>
            </m:r>
          </m:sub>
        </m:sSub>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jc</m:t>
            </m:r>
          </m:sub>
        </m:sSub>
        <m:r>
          <m:rPr>
            <m:sty m:val="p"/>
          </m:rP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k∈c</m:t>
            </m:r>
          </m:sub>
          <m:sup/>
          <m:e>
            <m:r>
              <w:rPr>
                <w:rFonts w:ascii="Cambria Math" w:hAnsi="Cambria Math"/>
              </w:rPr>
              <m:t>scor</m:t>
            </m:r>
          </m:e>
        </m:nary>
        <m:sSub>
          <m:sSubPr>
            <m:ctrlPr>
              <w:rPr>
                <w:rFonts w:ascii="Cambria Math" w:hAnsi="Cambria Math"/>
              </w:rPr>
            </m:ctrlPr>
          </m:sSubPr>
          <m:e>
            <m:r>
              <w:rPr>
                <w:rFonts w:ascii="Cambria Math" w:hAnsi="Cambria Math"/>
              </w:rPr>
              <m:t>e</m:t>
            </m:r>
          </m:e>
          <m:sub>
            <m:r>
              <w:rPr>
                <w:rFonts w:ascii="Cambria Math" w:hAnsi="Cambria Math"/>
              </w:rPr>
              <m:t>kc</m:t>
            </m:r>
          </m:sub>
        </m:sSub>
      </m:oMath>
    </w:p>
    <w:p w14:paraId="7C92DAF4" w14:textId="2AAF2D80" w:rsidR="000B05DF" w:rsidRDefault="000B05DF" w:rsidP="000B05DF">
      <w:pPr>
        <w:pStyle w:val="NormalWeb"/>
        <w:numPr>
          <w:ilvl w:val="0"/>
          <w:numId w:val="18"/>
        </w:numPr>
      </w:pPr>
      <w:r>
        <w:t>elevation score + imperviousness</w:t>
      </w:r>
      <w:r>
        <w:t>/soil</w:t>
      </w:r>
      <w:r>
        <w:t xml:space="preserve"> around CSO</w:t>
      </w:r>
    </w:p>
    <w:p w14:paraId="28E6C83D" w14:textId="7D682CA2" w:rsidR="000B05DF" w:rsidRDefault="000B05DF" w:rsidP="000B05DF">
      <w:pPr>
        <w:pStyle w:val="NormalWeb"/>
        <w:numPr>
          <w:ilvl w:val="0"/>
          <w:numId w:val="18"/>
        </w:numPr>
      </w:pPr>
      <w:r>
        <w:t>elevation score + distance to WwTW / pumping dependence</w:t>
      </w:r>
    </w:p>
    <w:p w14:paraId="0E96BA28" w14:textId="77777777" w:rsidR="000B05DF" w:rsidRDefault="000B05DF" w:rsidP="000B05DF">
      <w:pPr>
        <w:pStyle w:val="NormalWeb"/>
        <w:ind w:left="360"/>
      </w:pPr>
    </w:p>
    <w:p w14:paraId="287AD6E3" w14:textId="77777777" w:rsidR="000B05DF" w:rsidRDefault="000B05DF" w:rsidP="000B05DF">
      <w:pPr>
        <w:pStyle w:val="NormalWeb"/>
      </w:pPr>
      <w:r>
        <w:t xml:space="preserve">This keeps shares </w:t>
      </w:r>
      <w:r>
        <w:rPr>
          <w:rStyle w:val="Strong"/>
          <w:rFonts w:eastAsiaTheme="majorEastAsia"/>
        </w:rPr>
        <w:t>predetermined</w:t>
      </w:r>
      <w:r>
        <w:t xml:space="preserve"> and available for all CSOs.</w:t>
      </w:r>
    </w:p>
    <w:p w14:paraId="48D9095E" w14:textId="77777777" w:rsidR="000B05DF" w:rsidRDefault="000B05DF" w:rsidP="00FC4A57"/>
    <w:p w14:paraId="2EF45ED1" w14:textId="77777777" w:rsidR="00B44B1B" w:rsidRDefault="00B44B1B" w:rsidP="00FC4A57"/>
    <w:p w14:paraId="72151B49" w14:textId="77777777" w:rsidR="00B44B1B" w:rsidRDefault="00B44B1B" w:rsidP="00FC4A57"/>
    <w:p w14:paraId="74EA0B5A" w14:textId="77777777" w:rsidR="00AA1179" w:rsidRPr="00AA333A" w:rsidRDefault="00AA1179" w:rsidP="00FC4A57"/>
    <w:p w14:paraId="2C9309D4" w14:textId="77777777" w:rsidR="00BA41C0" w:rsidRPr="00BA41C0" w:rsidRDefault="00BA41C0" w:rsidP="00BA41C0">
      <w:pPr>
        <w:spacing w:before="100" w:beforeAutospacing="1" w:after="100" w:afterAutospacing="1"/>
        <w:outlineLvl w:val="0"/>
        <w:rPr>
          <w:b/>
          <w:bCs/>
          <w:kern w:val="36"/>
          <w:sz w:val="48"/>
          <w:szCs w:val="48"/>
        </w:rPr>
      </w:pPr>
      <w:r w:rsidRPr="00BA41C0">
        <w:rPr>
          <w:b/>
          <w:bCs/>
          <w:kern w:val="36"/>
          <w:sz w:val="48"/>
          <w:szCs w:val="48"/>
        </w:rPr>
        <w:t>Bartik Design Space: Shares, Shifts, and Unit of Analysis</w:t>
      </w:r>
    </w:p>
    <w:p w14:paraId="1FECC416" w14:textId="77777777" w:rsidR="00BA41C0" w:rsidRPr="00BA41C0" w:rsidRDefault="00A71C42" w:rsidP="00BA41C0">
      <w:r w:rsidRPr="00A71C42">
        <w:rPr>
          <w:noProof/>
          <w14:ligatures w14:val="standardContextual"/>
        </w:rPr>
        <w:pict w14:anchorId="428C881F">
          <v:rect id="_x0000_i1046" alt="" style="width:451.3pt;height:.05pt;mso-width-percent:0;mso-height-percent:0;mso-width-percent:0;mso-height-percent:0" o:hralign="center" o:hrstd="t" o:hr="t" fillcolor="#a0a0a0" stroked="f"/>
        </w:pict>
      </w:r>
    </w:p>
    <w:p w14:paraId="592B5110"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FRAMING: TWO IDENTIFICATION PATHS AND WHAT THEY REQUIRE</w:t>
      </w:r>
    </w:p>
    <w:p w14:paraId="6DD1C12E" w14:textId="77777777" w:rsidR="00BA41C0" w:rsidRPr="00BA41C0" w:rsidRDefault="00BA41C0" w:rsidP="00BA41C0">
      <w:pPr>
        <w:spacing w:before="100" w:beforeAutospacing="1" w:after="100" w:afterAutospacing="1"/>
      </w:pPr>
      <w:r w:rsidRPr="00BA41C0">
        <w:t>Before evaluating candidates, the fundamental choice is which identification path to take:</w:t>
      </w:r>
    </w:p>
    <w:p w14:paraId="22ECF0E8" w14:textId="77777777" w:rsidR="00BA41C0" w:rsidRPr="00BA41C0" w:rsidRDefault="00BA41C0" w:rsidP="00BA41C0">
      <w:r w:rsidRPr="00BA41C0">
        <w:t xml:space="preserve">&lt;br&gt;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142"/>
        <w:gridCol w:w="3868"/>
      </w:tblGrid>
      <w:tr w:rsidR="00BA41C0" w:rsidRPr="00BA41C0" w14:paraId="41390C0D" w14:textId="77777777">
        <w:trPr>
          <w:tblHeader/>
          <w:tblCellSpacing w:w="15" w:type="dxa"/>
        </w:trPr>
        <w:tc>
          <w:tcPr>
            <w:tcW w:w="0" w:type="auto"/>
            <w:vAlign w:val="center"/>
            <w:hideMark/>
          </w:tcPr>
          <w:p w14:paraId="76E2BD09" w14:textId="77777777" w:rsidR="00BA41C0" w:rsidRPr="00BA41C0" w:rsidRDefault="00BA41C0" w:rsidP="00BA41C0"/>
        </w:tc>
        <w:tc>
          <w:tcPr>
            <w:tcW w:w="0" w:type="auto"/>
            <w:vAlign w:val="center"/>
            <w:hideMark/>
          </w:tcPr>
          <w:p w14:paraId="737AEA6B" w14:textId="77777777" w:rsidR="00BA41C0" w:rsidRPr="00BA41C0" w:rsidRDefault="00BA41C0" w:rsidP="00BA41C0">
            <w:pPr>
              <w:jc w:val="center"/>
              <w:rPr>
                <w:b/>
                <w:bCs/>
              </w:rPr>
            </w:pPr>
            <w:r w:rsidRPr="00BA41C0">
              <w:rPr>
                <w:b/>
                <w:bCs/>
              </w:rPr>
              <w:t>GSP (Share exogeneity)</w:t>
            </w:r>
          </w:p>
        </w:tc>
        <w:tc>
          <w:tcPr>
            <w:tcW w:w="0" w:type="auto"/>
            <w:vAlign w:val="center"/>
            <w:hideMark/>
          </w:tcPr>
          <w:p w14:paraId="4D7FF724" w14:textId="77777777" w:rsidR="00BA41C0" w:rsidRPr="00BA41C0" w:rsidRDefault="00BA41C0" w:rsidP="00BA41C0">
            <w:pPr>
              <w:jc w:val="center"/>
              <w:rPr>
                <w:b/>
                <w:bCs/>
              </w:rPr>
            </w:pPr>
            <w:r w:rsidRPr="00BA41C0">
              <w:rPr>
                <w:b/>
                <w:bCs/>
              </w:rPr>
              <w:t>BHJ (Shock exogeneity)</w:t>
            </w:r>
          </w:p>
        </w:tc>
      </w:tr>
      <w:tr w:rsidR="00BA41C0" w:rsidRPr="00BA41C0" w14:paraId="4B517BDA" w14:textId="77777777">
        <w:trPr>
          <w:tblCellSpacing w:w="15" w:type="dxa"/>
        </w:trPr>
        <w:tc>
          <w:tcPr>
            <w:tcW w:w="0" w:type="auto"/>
            <w:vAlign w:val="center"/>
            <w:hideMark/>
          </w:tcPr>
          <w:p w14:paraId="44901EBF" w14:textId="77777777" w:rsidR="00BA41C0" w:rsidRPr="00BA41C0" w:rsidRDefault="00BA41C0" w:rsidP="00BA41C0">
            <w:r w:rsidRPr="00BA41C0">
              <w:rPr>
                <w:b/>
                <w:bCs/>
              </w:rPr>
              <w:t>Key assumption</w:t>
            </w:r>
          </w:p>
        </w:tc>
        <w:tc>
          <w:tcPr>
            <w:tcW w:w="0" w:type="auto"/>
            <w:vAlign w:val="center"/>
            <w:hideMark/>
          </w:tcPr>
          <w:p w14:paraId="67F85EED" w14:textId="77777777" w:rsidR="00BA41C0" w:rsidRPr="00BA41C0" w:rsidRDefault="00BA41C0" w:rsidP="00BA41C0">
            <w:r w:rsidRPr="00BA41C0">
              <w:t>Shares s_{jh} are as-good-as-randomly assigned</w:t>
            </w:r>
          </w:p>
        </w:tc>
        <w:tc>
          <w:tcPr>
            <w:tcW w:w="0" w:type="auto"/>
            <w:vAlign w:val="center"/>
            <w:hideMark/>
          </w:tcPr>
          <w:p w14:paraId="3E5E8643" w14:textId="77777777" w:rsidR="00BA41C0" w:rsidRPr="00BA41C0" w:rsidRDefault="00BA41C0" w:rsidP="00BA41C0">
            <w:r w:rsidRPr="00BA41C0">
              <w:t>Shocks g_{ht} are as-good-as-randomly assigned across units</w:t>
            </w:r>
          </w:p>
        </w:tc>
      </w:tr>
      <w:tr w:rsidR="00BA41C0" w:rsidRPr="00BA41C0" w14:paraId="6542744A" w14:textId="77777777">
        <w:trPr>
          <w:tblCellSpacing w:w="15" w:type="dxa"/>
        </w:trPr>
        <w:tc>
          <w:tcPr>
            <w:tcW w:w="0" w:type="auto"/>
            <w:vAlign w:val="center"/>
            <w:hideMark/>
          </w:tcPr>
          <w:p w14:paraId="100926ED" w14:textId="77777777" w:rsidR="00BA41C0" w:rsidRPr="00BA41C0" w:rsidRDefault="00BA41C0" w:rsidP="00BA41C0">
            <w:r w:rsidRPr="00BA41C0">
              <w:rPr>
                <w:b/>
                <w:bCs/>
              </w:rPr>
              <w:t>What can be endogenous</w:t>
            </w:r>
          </w:p>
        </w:tc>
        <w:tc>
          <w:tcPr>
            <w:tcW w:w="0" w:type="auto"/>
            <w:vAlign w:val="center"/>
            <w:hideMark/>
          </w:tcPr>
          <w:p w14:paraId="4A270593" w14:textId="77777777" w:rsidR="00BA41C0" w:rsidRPr="00BA41C0" w:rsidRDefault="00BA41C0" w:rsidP="00BA41C0">
            <w:r w:rsidRPr="00BA41C0">
              <w:t>Shocks</w:t>
            </w:r>
          </w:p>
        </w:tc>
        <w:tc>
          <w:tcPr>
            <w:tcW w:w="0" w:type="auto"/>
            <w:vAlign w:val="center"/>
            <w:hideMark/>
          </w:tcPr>
          <w:p w14:paraId="560DAA13" w14:textId="77777777" w:rsidR="00BA41C0" w:rsidRPr="00BA41C0" w:rsidRDefault="00BA41C0" w:rsidP="00BA41C0">
            <w:r w:rsidRPr="00BA41C0">
              <w:t>Shares</w:t>
            </w:r>
          </w:p>
        </w:tc>
      </w:tr>
      <w:tr w:rsidR="00BA41C0" w:rsidRPr="00BA41C0" w14:paraId="2789039A" w14:textId="77777777">
        <w:trPr>
          <w:tblCellSpacing w:w="15" w:type="dxa"/>
        </w:trPr>
        <w:tc>
          <w:tcPr>
            <w:tcW w:w="0" w:type="auto"/>
            <w:vAlign w:val="center"/>
            <w:hideMark/>
          </w:tcPr>
          <w:p w14:paraId="41742F79" w14:textId="77777777" w:rsidR="00BA41C0" w:rsidRPr="00BA41C0" w:rsidRDefault="00BA41C0" w:rsidP="00BA41C0">
            <w:r w:rsidRPr="00BA41C0">
              <w:rPr>
                <w:b/>
                <w:bCs/>
              </w:rPr>
              <w:t>Standard errors</w:t>
            </w:r>
          </w:p>
        </w:tc>
        <w:tc>
          <w:tcPr>
            <w:tcW w:w="0" w:type="auto"/>
            <w:vAlign w:val="center"/>
            <w:hideMark/>
          </w:tcPr>
          <w:p w14:paraId="214E00B6" w14:textId="77777777" w:rsidR="00BA41C0" w:rsidRPr="00BA41C0" w:rsidRDefault="00BA41C0" w:rsidP="00BA41C0">
            <w:r w:rsidRPr="00BA41C0">
              <w:t>Cluster at unit level</w:t>
            </w:r>
          </w:p>
        </w:tc>
        <w:tc>
          <w:tcPr>
            <w:tcW w:w="0" w:type="auto"/>
            <w:vAlign w:val="center"/>
            <w:hideMark/>
          </w:tcPr>
          <w:p w14:paraId="487E1218" w14:textId="77777777" w:rsidR="00BA41C0" w:rsidRPr="00BA41C0" w:rsidRDefault="00BA41C0" w:rsidP="00BA41C0">
            <w:r w:rsidRPr="00BA41C0">
              <w:t>Cluster at shock level (ssaggregate command)</w:t>
            </w:r>
          </w:p>
        </w:tc>
      </w:tr>
      <w:tr w:rsidR="00BA41C0" w:rsidRPr="00BA41C0" w14:paraId="35371D21" w14:textId="77777777">
        <w:trPr>
          <w:tblCellSpacing w:w="15" w:type="dxa"/>
        </w:trPr>
        <w:tc>
          <w:tcPr>
            <w:tcW w:w="0" w:type="auto"/>
            <w:vAlign w:val="center"/>
            <w:hideMark/>
          </w:tcPr>
          <w:p w14:paraId="4E5BFF77" w14:textId="77777777" w:rsidR="00BA41C0" w:rsidRPr="00BA41C0" w:rsidRDefault="00BA41C0" w:rsidP="00BA41C0">
            <w:r w:rsidRPr="00BA41C0">
              <w:rPr>
                <w:b/>
                <w:bCs/>
              </w:rPr>
              <w:t>Balance test</w:t>
            </w:r>
          </w:p>
        </w:tc>
        <w:tc>
          <w:tcPr>
            <w:tcW w:w="0" w:type="auto"/>
            <w:vAlign w:val="center"/>
            <w:hideMark/>
          </w:tcPr>
          <w:p w14:paraId="3A644DE0" w14:textId="77777777" w:rsidR="00BA41C0" w:rsidRPr="00BA41C0" w:rsidRDefault="00BA41C0" w:rsidP="00BA41C0">
            <w:r w:rsidRPr="00BA41C0">
              <w:t>Do shares predict pre-period outcomes?</w:t>
            </w:r>
          </w:p>
        </w:tc>
        <w:tc>
          <w:tcPr>
            <w:tcW w:w="0" w:type="auto"/>
            <w:vAlign w:val="center"/>
            <w:hideMark/>
          </w:tcPr>
          <w:p w14:paraId="350C5574" w14:textId="77777777" w:rsidR="00BA41C0" w:rsidRPr="00BA41C0" w:rsidRDefault="00BA41C0" w:rsidP="00BA41C0">
            <w:r w:rsidRPr="00BA41C0">
              <w:t>Do shocks correlate with unit-level baseline chars?</w:t>
            </w:r>
          </w:p>
        </w:tc>
      </w:tr>
      <w:tr w:rsidR="00BA41C0" w:rsidRPr="00BA41C0" w14:paraId="711DA35A" w14:textId="77777777">
        <w:trPr>
          <w:tblCellSpacing w:w="15" w:type="dxa"/>
        </w:trPr>
        <w:tc>
          <w:tcPr>
            <w:tcW w:w="0" w:type="auto"/>
            <w:vAlign w:val="center"/>
            <w:hideMark/>
          </w:tcPr>
          <w:p w14:paraId="1E655A99" w14:textId="77777777" w:rsidR="00BA41C0" w:rsidRPr="00BA41C0" w:rsidRDefault="00BA41C0" w:rsidP="00BA41C0">
            <w:r w:rsidRPr="00BA41C0">
              <w:rPr>
                <w:b/>
                <w:bCs/>
              </w:rPr>
              <w:lastRenderedPageBreak/>
              <w:t>Your setting favours</w:t>
            </w:r>
          </w:p>
        </w:tc>
        <w:tc>
          <w:tcPr>
            <w:tcW w:w="0" w:type="auto"/>
            <w:vAlign w:val="center"/>
            <w:hideMark/>
          </w:tcPr>
          <w:p w14:paraId="315170BB" w14:textId="77777777" w:rsidR="00BA41C0" w:rsidRPr="00BA41C0" w:rsidRDefault="00BA41C0" w:rsidP="00BA41C0">
            <w:r w:rsidRPr="00BA41C0">
              <w:rPr>
                <w:rFonts w:ascii="Segoe UI Symbol" w:hAnsi="Segoe UI Symbol" w:cs="Segoe UI Symbol"/>
              </w:rPr>
              <w:t>✓</w:t>
            </w:r>
            <w:r w:rsidRPr="00BA41C0">
              <w:t xml:space="preserve"> Shares are Victorian engineering facts</w:t>
            </w:r>
          </w:p>
        </w:tc>
        <w:tc>
          <w:tcPr>
            <w:tcW w:w="0" w:type="auto"/>
            <w:vAlign w:val="center"/>
            <w:hideMark/>
          </w:tcPr>
          <w:p w14:paraId="1C5E84E9" w14:textId="77777777" w:rsidR="00BA41C0" w:rsidRPr="00BA41C0" w:rsidRDefault="00BA41C0" w:rsidP="00BA41C0">
            <w:r w:rsidRPr="00BA41C0">
              <w:rPr>
                <w:rFonts w:ascii="Segoe UI Symbol" w:hAnsi="Segoe UI Symbol" w:cs="Segoe UI Symbol"/>
              </w:rPr>
              <w:t>✓</w:t>
            </w:r>
            <w:r w:rsidRPr="00BA41C0">
              <w:t xml:space="preserve"> Rainfall shocks are genuinely random</w:t>
            </w:r>
          </w:p>
        </w:tc>
      </w:tr>
    </w:tbl>
    <w:p w14:paraId="1910A331" w14:textId="77777777" w:rsidR="00BA41C0" w:rsidRPr="00BA41C0" w:rsidRDefault="00BA41C0" w:rsidP="00BA41C0">
      <w:pPr>
        <w:spacing w:before="100" w:beforeAutospacing="1" w:after="100" w:afterAutospacing="1"/>
      </w:pPr>
      <w:r w:rsidRPr="00BA41C0">
        <w:rPr>
          <w:b/>
          <w:bCs/>
        </w:rPr>
        <w:t>The good news:</w:t>
      </w:r>
      <w:r w:rsidRPr="00BA41C0">
        <w:t xml:space="preserve"> Your setting potentially satisfies </w:t>
      </w:r>
      <w:r w:rsidRPr="00BA41C0">
        <w:rPr>
          <w:i/>
          <w:iCs/>
        </w:rPr>
        <w:t>both</w:t>
      </w:r>
      <w:r w:rsidRPr="00BA41C0">
        <w:t xml:space="preserve"> simultaneously for different share/shock pairs. You should exploit this to run both approaches and show they give consistent β estimates.</w:t>
      </w:r>
    </w:p>
    <w:p w14:paraId="2E514D11" w14:textId="77777777" w:rsidR="00BA41C0" w:rsidRPr="00BA41C0" w:rsidRDefault="00A71C42" w:rsidP="00BA41C0">
      <w:r w:rsidRPr="00A71C42">
        <w:rPr>
          <w:noProof/>
          <w14:ligatures w14:val="standardContextual"/>
        </w:rPr>
        <w:pict w14:anchorId="3C8CF9A4">
          <v:rect id="_x0000_i1045" alt="" style="width:451.3pt;height:.05pt;mso-width-percent:0;mso-height-percent:0;mso-width-percent:0;mso-height-percent:0" o:hralign="center" o:hrstd="t" o:hr="t" fillcolor="#a0a0a0" stroked="f"/>
        </w:pict>
      </w:r>
    </w:p>
    <w:p w14:paraId="00065CD9"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DIMENSION 1: CANDIDATE SHARES</w:t>
      </w:r>
    </w:p>
    <w:p w14:paraId="0F2491E1" w14:textId="77777777" w:rsidR="00BA41C0" w:rsidRPr="00BA41C0" w:rsidRDefault="00BA41C0" w:rsidP="00BA41C0">
      <w:pPr>
        <w:spacing w:before="100" w:beforeAutospacing="1" w:after="100" w:afterAutospacing="1"/>
      </w:pPr>
      <w:r w:rsidRPr="00BA41C0">
        <w:t xml:space="preserve">The share s_{jh} captures </w:t>
      </w:r>
      <w:r w:rsidRPr="00BA41C0">
        <w:rPr>
          <w:b/>
          <w:bCs/>
        </w:rPr>
        <w:t>how much CSO j's spill intensity is structurally exposed to component h</w:t>
      </w:r>
      <w:r w:rsidRPr="00BA41C0">
        <w:t>. A good share is:</w:t>
      </w:r>
    </w:p>
    <w:p w14:paraId="08FD1C31" w14:textId="77777777" w:rsidR="00BA41C0" w:rsidRPr="00BA41C0" w:rsidRDefault="00BA41C0" w:rsidP="00BA41C0">
      <w:pPr>
        <w:numPr>
          <w:ilvl w:val="0"/>
          <w:numId w:val="9"/>
        </w:numPr>
        <w:spacing w:before="100" w:beforeAutospacing="1" w:after="100" w:afterAutospacing="1"/>
      </w:pPr>
      <w:r w:rsidRPr="00BA41C0">
        <w:rPr>
          <w:b/>
          <w:bCs/>
        </w:rPr>
        <w:t>Predetermined</w:t>
      </w:r>
      <w:r w:rsidRPr="00BA41C0">
        <w:t xml:space="preserve"> — fixed before the study period and before modern house prices</w:t>
      </w:r>
    </w:p>
    <w:p w14:paraId="712F2E73" w14:textId="77777777" w:rsidR="00BA41C0" w:rsidRPr="00BA41C0" w:rsidRDefault="00BA41C0" w:rsidP="00BA41C0">
      <w:pPr>
        <w:numPr>
          <w:ilvl w:val="0"/>
          <w:numId w:val="9"/>
        </w:numPr>
        <w:spacing w:before="100" w:beforeAutospacing="1" w:after="100" w:afterAutospacing="1"/>
      </w:pPr>
      <w:r w:rsidRPr="00BA41C0">
        <w:rPr>
          <w:b/>
          <w:bCs/>
        </w:rPr>
        <w:t>Hydraulically meaningful</w:t>
      </w:r>
      <w:r w:rsidRPr="00BA41C0">
        <w:t xml:space="preserve"> — genuinely determines spill sensitivity</w:t>
      </w:r>
    </w:p>
    <w:p w14:paraId="3A15F7B2" w14:textId="77777777" w:rsidR="00BA41C0" w:rsidRPr="00BA41C0" w:rsidRDefault="00BA41C0" w:rsidP="00BA41C0">
      <w:pPr>
        <w:numPr>
          <w:ilvl w:val="0"/>
          <w:numId w:val="9"/>
        </w:numPr>
        <w:spacing w:before="100" w:beforeAutospacing="1" w:after="100" w:afterAutospacing="1"/>
      </w:pPr>
      <w:r w:rsidRPr="00BA41C0">
        <w:rPr>
          <w:b/>
          <w:bCs/>
        </w:rPr>
        <w:t>Measurable</w:t>
      </w:r>
      <w:r w:rsidRPr="00BA41C0">
        <w:t xml:space="preserve"> from available data</w:t>
      </w:r>
    </w:p>
    <w:p w14:paraId="77CC29F9" w14:textId="77777777" w:rsidR="00BA41C0" w:rsidRPr="00BA41C0" w:rsidRDefault="00A71C42" w:rsidP="00BA41C0">
      <w:r w:rsidRPr="00A71C42">
        <w:rPr>
          <w:noProof/>
          <w14:ligatures w14:val="standardContextual"/>
        </w:rPr>
        <w:pict w14:anchorId="0B971C0A">
          <v:rect id="_x0000_i1044" alt="" style="width:451.3pt;height:.05pt;mso-width-percent:0;mso-height-percent:0;mso-width-percent:0;mso-height-percent:0" o:hralign="center" o:hrstd="t" o:hr="t" fillcolor="#a0a0a0" stroked="f"/>
        </w:pict>
      </w:r>
    </w:p>
    <w:p w14:paraId="6E732C24"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Share A: Hydraulic Slack Deficit </w:t>
      </w:r>
      <w:r w:rsidRPr="00BA41C0">
        <w:rPr>
          <w:rFonts w:ascii="Segoe UI Symbol" w:hAnsi="Segoe UI Symbol" w:cs="Segoe UI Symbol"/>
          <w:b/>
          <w:bCs/>
          <w:sz w:val="27"/>
          <w:szCs w:val="27"/>
        </w:rPr>
        <w:t>✓✓</w:t>
      </w:r>
      <w:r w:rsidRPr="00BA41C0">
        <w:rPr>
          <w:b/>
          <w:bCs/>
          <w:sz w:val="27"/>
          <w:szCs w:val="27"/>
        </w:rPr>
        <w:t xml:space="preserve"> RECOMMENDED PRIMARY</w:t>
      </w:r>
    </w:p>
    <w:p w14:paraId="5371567D" w14:textId="77777777" w:rsidR="00BA41C0" w:rsidRPr="00BA41C0" w:rsidRDefault="00BA41C0" w:rsidP="00BA41C0">
      <w:pPr>
        <w:spacing w:before="100" w:beforeAutospacing="1" w:after="100" w:afterAutospacing="1"/>
      </w:pPr>
      <w:r w:rsidRPr="00BA41C0">
        <w:rPr>
          <w:b/>
          <w:bCs/>
        </w:rPr>
        <w:t>Definition:</w:t>
      </w:r>
    </w:p>
    <w:p w14:paraId="3E0FEB87" w14:textId="77777777" w:rsidR="00BA41C0" w:rsidRPr="00BA41C0" w:rsidRDefault="00BA41C0" w:rsidP="00BA41C0">
      <w:pPr>
        <w:spacing w:before="100" w:beforeAutospacing="1" w:after="100" w:afterAutospacing="1"/>
      </w:pPr>
      <w:r w:rsidRPr="00BA41C0">
        <w:t>s_{j,slack} = max(0, S_min - S_available,j) / normalisation</w:t>
      </w:r>
    </w:p>
    <w:p w14:paraId="03CB6606" w14:textId="77777777" w:rsidR="00BA41C0" w:rsidRPr="00BA41C0" w:rsidRDefault="00BA41C0" w:rsidP="00BA41C0">
      <w:pPr>
        <w:spacing w:before="100" w:beforeAutospacing="1" w:after="100" w:afterAutospacing="1"/>
      </w:pPr>
      <w:r w:rsidRPr="00BA41C0">
        <w:t>Where S_available,j = (z_CSO,j - z_WwTW,k) / L_network,j is the available gravity gradient and S_min ≈ 0.002 (1/500) is the minimum self-cleansing gradient.</w:t>
      </w:r>
    </w:p>
    <w:p w14:paraId="2D15AEB3" w14:textId="77777777" w:rsidR="00BA41C0" w:rsidRPr="00BA41C0" w:rsidRDefault="00BA41C0" w:rsidP="00BA41C0">
      <w:pPr>
        <w:spacing w:before="100" w:beforeAutospacing="1" w:after="100" w:afterAutospacing="1"/>
      </w:pPr>
      <w:r w:rsidRPr="00BA41C0">
        <w:rPr>
          <w:b/>
          <w:bCs/>
        </w:rPr>
        <w:t>Interpretation:</w:t>
      </w:r>
      <w:r w:rsidRPr="00BA41C0">
        <w:t xml:space="preserve"> The fraction by which CSO j's available hydraulic gradient falls short of the minimum needed for gravity conveyance. Zero for unconstrained CSOs; positive and increasing for increasingly constrained ones.</w:t>
      </w:r>
    </w:p>
    <w:p w14:paraId="33DBDD8C" w14:textId="77777777" w:rsidR="00BA41C0" w:rsidRPr="00BA41C0" w:rsidRDefault="00BA41C0" w:rsidP="00BA41C0">
      <w:pPr>
        <w:spacing w:before="100" w:beforeAutospacing="1" w:after="100" w:afterAutospacing="1"/>
      </w:pPr>
      <w:r w:rsidRPr="00BA41C0">
        <w:rPr>
          <w:b/>
          <w:bCs/>
        </w:rPr>
        <w:t>Predetermined?</w:t>
      </w:r>
      <w:r w:rsidRPr="00BA41C0">
        <w:t xml:space="preserve"> Yes — determined by Victorian interceptor routing (terrain-constrained) and treatment works location (historically fixed). No endogeneity channel to modern prices conditional on controlling for elevation directly.</w:t>
      </w:r>
    </w:p>
    <w:p w14:paraId="14CF1981" w14:textId="77777777" w:rsidR="00BA41C0" w:rsidRPr="00BA41C0" w:rsidRDefault="00BA41C0" w:rsidP="00BA41C0">
      <w:pPr>
        <w:spacing w:before="100" w:beforeAutospacing="1" w:after="100" w:afterAutospacing="1"/>
      </w:pPr>
      <w:r w:rsidRPr="00BA41C0">
        <w:rPr>
          <w:b/>
          <w:bCs/>
        </w:rPr>
        <w:t>Hydraulically meaningful?</w:t>
      </w:r>
      <w:r w:rsidRPr="00BA41C0">
        <w:t xml:space="preserve"> Yes and precisely so — this is exactly what determines whether additional flow causes a CSO to tip over into spilling.</w:t>
      </w:r>
    </w:p>
    <w:p w14:paraId="681234F0" w14:textId="77777777" w:rsidR="00BA41C0" w:rsidRPr="00BA41C0" w:rsidRDefault="00BA41C0" w:rsidP="00BA41C0">
      <w:pPr>
        <w:spacing w:before="100" w:beforeAutospacing="1" w:after="100" w:afterAutospacing="1"/>
      </w:pPr>
      <w:r w:rsidRPr="00BA41C0">
        <w:rPr>
          <w:b/>
          <w:bCs/>
        </w:rPr>
        <w:t>Measurable?</w:t>
      </w:r>
      <w:r w:rsidRPr="00BA41C0">
        <w:t xml:space="preserve"> Yes — from OS Terrain 5 DEM (z_CSO, z_WwTW) and Hoffmann et al. catchment data (L_network approximated by straight-line × 1.3 urban tortuosity factor).</w:t>
      </w:r>
    </w:p>
    <w:p w14:paraId="1D85DB8B" w14:textId="77777777" w:rsidR="00BA41C0" w:rsidRPr="00BA41C0" w:rsidRDefault="00BA41C0" w:rsidP="00BA41C0">
      <w:pPr>
        <w:spacing w:before="100" w:beforeAutospacing="1" w:after="100" w:afterAutospacing="1"/>
      </w:pPr>
      <w:r w:rsidRPr="00BA41C0">
        <w:rPr>
          <w:b/>
          <w:bCs/>
        </w:rPr>
        <w:t>GSP identification path:</w:t>
      </w:r>
      <w:r w:rsidRPr="00BA41C0">
        <w:t xml:space="preserve"> Share is predetermined → valid under share exogeneity </w:t>
      </w:r>
      <w:r w:rsidRPr="00BA41C0">
        <w:rPr>
          <w:b/>
          <w:bCs/>
        </w:rPr>
        <w:t>BHJ identification path:</w:t>
      </w:r>
      <w:r w:rsidRPr="00BA41C0">
        <w:t xml:space="preserve"> Valid as weight for any exogenous shock</w:t>
      </w:r>
    </w:p>
    <w:p w14:paraId="33441CBE" w14:textId="77777777" w:rsidR="00BA41C0" w:rsidRPr="00BA41C0" w:rsidRDefault="00A71C42" w:rsidP="00BA41C0">
      <w:r w:rsidRPr="00A71C42">
        <w:rPr>
          <w:noProof/>
          <w14:ligatures w14:val="standardContextual"/>
        </w:rPr>
        <w:pict w14:anchorId="68C7EEF0">
          <v:rect id="_x0000_i1043" alt="" style="width:451.3pt;height:.05pt;mso-width-percent:0;mso-height-percent:0;mso-width-percent:0;mso-height-percent:0" o:hralign="center" o:hrstd="t" o:hr="t" fillcolor="#a0a0a0" stroked="f"/>
        </w:pict>
      </w:r>
    </w:p>
    <w:p w14:paraId="570F762B"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lastRenderedPageBreak/>
        <w:t xml:space="preserve">Share B: Elevation Gradient Disadvantage </w:t>
      </w:r>
      <w:r w:rsidRPr="00BA41C0">
        <w:rPr>
          <w:rFonts w:ascii="Segoe UI Symbol" w:hAnsi="Segoe UI Symbol" w:cs="Segoe UI Symbol"/>
          <w:b/>
          <w:bCs/>
          <w:sz w:val="27"/>
          <w:szCs w:val="27"/>
        </w:rPr>
        <w:t>✓</w:t>
      </w:r>
      <w:r w:rsidRPr="00BA41C0">
        <w:rPr>
          <w:b/>
          <w:bCs/>
          <w:sz w:val="27"/>
          <w:szCs w:val="27"/>
        </w:rPr>
        <w:t xml:space="preserve"> SECONDARY</w:t>
      </w:r>
    </w:p>
    <w:p w14:paraId="073544F6" w14:textId="77777777" w:rsidR="00BA41C0" w:rsidRPr="00BA41C0" w:rsidRDefault="00BA41C0" w:rsidP="00BA41C0">
      <w:pPr>
        <w:spacing w:before="100" w:beforeAutospacing="1" w:after="100" w:afterAutospacing="1"/>
      </w:pPr>
      <w:r w:rsidRPr="00BA41C0">
        <w:rPr>
          <w:b/>
          <w:bCs/>
        </w:rPr>
        <w:t>Definition:</w:t>
      </w:r>
    </w:p>
    <w:p w14:paraId="21A35614" w14:textId="77777777" w:rsidR="00BA41C0" w:rsidRPr="00BA41C0" w:rsidRDefault="00BA41C0" w:rsidP="00BA41C0">
      <w:pPr>
        <w:spacing w:before="100" w:beforeAutospacing="1" w:after="100" w:afterAutospacing="1"/>
      </w:pPr>
      <w:r w:rsidRPr="00BA41C0">
        <w:t>s_{j,elev} = max(0, z_WwTW,k - z_CSO,j) / max_j(z_WwTW,k - z_CSO,j)</w:t>
      </w:r>
    </w:p>
    <w:p w14:paraId="122A0666" w14:textId="77777777" w:rsidR="00BA41C0" w:rsidRPr="00BA41C0" w:rsidRDefault="00BA41C0" w:rsidP="00BA41C0">
      <w:pPr>
        <w:spacing w:before="100" w:beforeAutospacing="1" w:after="100" w:afterAutospacing="1"/>
      </w:pPr>
      <w:r w:rsidRPr="00BA41C0">
        <w:t>This is the component of hydraulic slack attributable purely to elevation, normalised within a catchment.</w:t>
      </w:r>
    </w:p>
    <w:p w14:paraId="71443551" w14:textId="77777777" w:rsidR="00BA41C0" w:rsidRPr="00BA41C0" w:rsidRDefault="00BA41C0" w:rsidP="00BA41C0">
      <w:pPr>
        <w:spacing w:before="100" w:beforeAutospacing="1" w:after="100" w:afterAutospacing="1"/>
      </w:pPr>
      <w:r w:rsidRPr="00BA41C0">
        <w:rPr>
          <w:b/>
          <w:bCs/>
        </w:rPr>
        <w:t>Relationship to Share A:</w:t>
      </w:r>
      <w:r w:rsidRPr="00BA41C0">
        <w:t xml:space="preserve"> Share B is simpler and uses only elevation data, not network distance. Share A is more complete (incorporates pipe length friction losses). Share B is useful as a robustness check or as a component when network distance is not measurable.</w:t>
      </w:r>
    </w:p>
    <w:p w14:paraId="60BE6274" w14:textId="77777777" w:rsidR="00BA41C0" w:rsidRPr="00BA41C0" w:rsidRDefault="00BA41C0" w:rsidP="00BA41C0">
      <w:pPr>
        <w:spacing w:before="100" w:beforeAutospacing="1" w:after="100" w:afterAutospacing="1"/>
      </w:pPr>
      <w:r w:rsidRPr="00BA41C0">
        <w:rPr>
          <w:b/>
          <w:bCs/>
        </w:rPr>
        <w:t>Predetermined?</w:t>
      </w:r>
      <w:r w:rsidRPr="00BA41C0">
        <w:t xml:space="preserve"> Yes — geology predates everything.</w:t>
      </w:r>
    </w:p>
    <w:p w14:paraId="02D3E9EA" w14:textId="77777777" w:rsidR="00BA41C0" w:rsidRPr="00BA41C0" w:rsidRDefault="00BA41C0" w:rsidP="00BA41C0">
      <w:pPr>
        <w:spacing w:before="100" w:beforeAutospacing="1" w:after="100" w:afterAutospacing="1"/>
      </w:pPr>
      <w:r w:rsidRPr="00BA41C0">
        <w:rPr>
          <w:b/>
          <w:bCs/>
        </w:rPr>
        <w:t>Concern:</w:t>
      </w:r>
      <w:r w:rsidRPr="00BA41C0">
        <w:t xml:space="preserve"> Elevation directly affects house prices through flood risk, views, and microclimate. This is addressed by controlling for z_CSO directly in the first stage (isolating the differential z_CSO - z_WwTW from the level effect of elevation), and controlling for z_house in the second stage.</w:t>
      </w:r>
    </w:p>
    <w:p w14:paraId="16C16D75" w14:textId="77777777" w:rsidR="00BA41C0" w:rsidRPr="00BA41C0" w:rsidRDefault="00A71C42" w:rsidP="00BA41C0">
      <w:r w:rsidRPr="00A71C42">
        <w:rPr>
          <w:noProof/>
          <w14:ligatures w14:val="standardContextual"/>
        </w:rPr>
        <w:pict w14:anchorId="40389F41">
          <v:rect id="_x0000_i1042" alt="" style="width:451.3pt;height:.05pt;mso-width-percent:0;mso-height-percent:0;mso-width-percent:0;mso-height-percent:0" o:hralign="center" o:hrstd="t" o:hr="t" fillcolor="#a0a0a0" stroked="f"/>
        </w:pict>
      </w:r>
    </w:p>
    <w:p w14:paraId="1590E4DF"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Share C: Sub-Catchment Imperviousness </w:t>
      </w:r>
      <w:r w:rsidRPr="00BA41C0">
        <w:rPr>
          <w:rFonts w:ascii="Segoe UI Symbol" w:hAnsi="Segoe UI Symbol" w:cs="Segoe UI Symbol"/>
          <w:b/>
          <w:bCs/>
          <w:sz w:val="27"/>
          <w:szCs w:val="27"/>
        </w:rPr>
        <w:t>✗</w:t>
      </w:r>
      <w:r w:rsidRPr="00BA41C0">
        <w:rPr>
          <w:b/>
          <w:bCs/>
          <w:sz w:val="27"/>
          <w:szCs w:val="27"/>
        </w:rPr>
        <w:t xml:space="preserve"> AVOID AS PRIMARY</w:t>
      </w:r>
    </w:p>
    <w:p w14:paraId="72A8EE70" w14:textId="77777777" w:rsidR="00BA41C0" w:rsidRPr="00BA41C0" w:rsidRDefault="00BA41C0" w:rsidP="00BA41C0">
      <w:pPr>
        <w:spacing w:before="100" w:beforeAutospacing="1" w:after="100" w:afterAutospacing="1"/>
      </w:pPr>
      <w:r w:rsidRPr="00BA41C0">
        <w:rPr>
          <w:b/>
          <w:bCs/>
        </w:rPr>
        <w:t>Definition:</w:t>
      </w:r>
      <w:r w:rsidRPr="00BA41C0">
        <w:t xml:space="preserve"> The proportion of the CSO's contributing catchment that is impervious (buildings, roads, paved surfaces).</w:t>
      </w:r>
    </w:p>
    <w:p w14:paraId="55D03E11" w14:textId="77777777" w:rsidR="00BA41C0" w:rsidRPr="00BA41C0" w:rsidRDefault="00BA41C0" w:rsidP="00BA41C0">
      <w:pPr>
        <w:spacing w:before="100" w:beforeAutospacing="1" w:after="100" w:afterAutospacing="1"/>
      </w:pPr>
      <w:r w:rsidRPr="00BA41C0">
        <w:rPr>
          <w:b/>
          <w:bCs/>
        </w:rPr>
        <w:t>Why problematic as a share:</w:t>
      </w:r>
      <w:r w:rsidRPr="00BA41C0">
        <w:t xml:space="preserve"> Imperviousness is directly correlated with urban density, which directly affects house prices through amenity, congestion, and development quality channels. Even Victorian imperviousness has this problem (Victorian density → Victorian housing stock quality → modern house prices through neighbourhood character persistence). The share fails the balance test almost certainly.</w:t>
      </w:r>
    </w:p>
    <w:p w14:paraId="30E9E3EC" w14:textId="77777777" w:rsidR="00BA41C0" w:rsidRPr="00BA41C0" w:rsidRDefault="00BA41C0" w:rsidP="00BA41C0">
      <w:pPr>
        <w:spacing w:before="100" w:beforeAutospacing="1" w:after="100" w:afterAutospacing="1"/>
      </w:pPr>
      <w:r w:rsidRPr="00BA41C0">
        <w:rPr>
          <w:b/>
          <w:bCs/>
        </w:rPr>
        <w:t>Possible use:</w:t>
      </w:r>
      <w:r w:rsidRPr="00BA41C0">
        <w:t xml:space="preserve"> As a </w:t>
      </w:r>
      <w:r w:rsidRPr="00BA41C0">
        <w:rPr>
          <w:i/>
          <w:iCs/>
        </w:rPr>
        <w:t>control variable</w:t>
      </w:r>
      <w:r w:rsidRPr="00BA41C0">
        <w:t xml:space="preserve"> in the first stage (to isolate hydraulic effects from density effects), not as an identifying share.</w:t>
      </w:r>
    </w:p>
    <w:p w14:paraId="17D9B518" w14:textId="77777777" w:rsidR="00BA41C0" w:rsidRPr="00BA41C0" w:rsidRDefault="00A71C42" w:rsidP="00BA41C0">
      <w:r w:rsidRPr="00A71C42">
        <w:rPr>
          <w:noProof/>
          <w14:ligatures w14:val="standardContextual"/>
        </w:rPr>
        <w:pict w14:anchorId="643E76E8">
          <v:rect id="_x0000_i1041" alt="" style="width:451.3pt;height:.05pt;mso-width-percent:0;mso-height-percent:0;mso-width-percent:0;mso-height-percent:0" o:hralign="center" o:hrstd="t" o:hr="t" fillcolor="#a0a0a0" stroked="f"/>
        </w:pict>
      </w:r>
    </w:p>
    <w:p w14:paraId="160523D3"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Share D: Soil Permeability / HOST Classification </w:t>
      </w:r>
      <w:r w:rsidRPr="00BA41C0">
        <w:rPr>
          <w:rFonts w:ascii="Segoe UI Symbol" w:hAnsi="Segoe UI Symbol" w:cs="Segoe UI Symbol"/>
          <w:b/>
          <w:bCs/>
          <w:sz w:val="27"/>
          <w:szCs w:val="27"/>
        </w:rPr>
        <w:t>✓</w:t>
      </w:r>
      <w:r w:rsidRPr="00BA41C0">
        <w:rPr>
          <w:b/>
          <w:bCs/>
          <w:sz w:val="27"/>
          <w:szCs w:val="27"/>
        </w:rPr>
        <w:t xml:space="preserve"> VALID SECONDARY</w:t>
      </w:r>
    </w:p>
    <w:p w14:paraId="5E3C21C7" w14:textId="77777777" w:rsidR="00BA41C0" w:rsidRPr="00BA41C0" w:rsidRDefault="00BA41C0" w:rsidP="00BA41C0">
      <w:pPr>
        <w:spacing w:before="100" w:beforeAutospacing="1" w:after="100" w:afterAutospacing="1"/>
      </w:pPr>
      <w:r w:rsidRPr="00BA41C0">
        <w:rPr>
          <w:b/>
          <w:bCs/>
        </w:rPr>
        <w:t>Definition:</w:t>
      </w:r>
    </w:p>
    <w:p w14:paraId="43E8BE1D" w14:textId="77777777" w:rsidR="00BA41C0" w:rsidRPr="00BA41C0" w:rsidRDefault="00BA41C0" w:rsidP="00BA41C0">
      <w:pPr>
        <w:spacing w:before="100" w:beforeAutospacing="1" w:after="100" w:afterAutospacing="1"/>
      </w:pPr>
      <w:r w:rsidRPr="00BA41C0">
        <w:t>s_{j,soil} = (1 - permeability_j) / max_j(1 - permeability_j)</w:t>
      </w:r>
    </w:p>
    <w:p w14:paraId="52D22AD0" w14:textId="77777777" w:rsidR="00BA41C0" w:rsidRPr="00BA41C0" w:rsidRDefault="00BA41C0" w:rsidP="00BA41C0">
      <w:pPr>
        <w:spacing w:before="100" w:beforeAutospacing="1" w:after="100" w:afterAutospacing="1"/>
      </w:pPr>
      <w:r w:rsidRPr="00BA41C0">
        <w:t>Where permeability is the HOST soil class, with clay soils (impermeable) receiving value 1.</w:t>
      </w:r>
    </w:p>
    <w:p w14:paraId="63C143F4" w14:textId="77777777" w:rsidR="00BA41C0" w:rsidRPr="00BA41C0" w:rsidRDefault="00BA41C0" w:rsidP="00BA41C0">
      <w:pPr>
        <w:spacing w:before="100" w:beforeAutospacing="1" w:after="100" w:afterAutospacing="1"/>
      </w:pPr>
      <w:r w:rsidRPr="00BA41C0">
        <w:rPr>
          <w:b/>
          <w:bCs/>
        </w:rPr>
        <w:t>Hydraulically meaningful?</w:t>
      </w:r>
      <w:r w:rsidRPr="00BA41C0">
        <w:t xml:space="preserve"> Yes — impermeable soils generate more direct surface runoff, increasing storm inflow to the combined sewer system. Lower infiltration → more runoff → more CSO activation.</w:t>
      </w:r>
    </w:p>
    <w:p w14:paraId="0858D20B" w14:textId="77777777" w:rsidR="00BA41C0" w:rsidRPr="00BA41C0" w:rsidRDefault="00BA41C0" w:rsidP="00BA41C0">
      <w:pPr>
        <w:spacing w:before="100" w:beforeAutospacing="1" w:after="100" w:afterAutospacing="1"/>
      </w:pPr>
      <w:r w:rsidRPr="00BA41C0">
        <w:rPr>
          <w:b/>
          <w:bCs/>
        </w:rPr>
        <w:lastRenderedPageBreak/>
        <w:t>Predetermined?</w:t>
      </w:r>
      <w:r w:rsidRPr="00BA41C0">
        <w:t xml:space="preserve"> Strongly yes — soil type is geological, predates all human activity.</w:t>
      </w:r>
    </w:p>
    <w:p w14:paraId="527EA0C6" w14:textId="77777777" w:rsidR="00BA41C0" w:rsidRPr="00BA41C0" w:rsidRDefault="00BA41C0" w:rsidP="00BA41C0">
      <w:pPr>
        <w:spacing w:before="100" w:beforeAutospacing="1" w:after="100" w:afterAutospacing="1"/>
      </w:pPr>
      <w:r w:rsidRPr="00BA41C0">
        <w:rPr>
          <w:b/>
          <w:bCs/>
        </w:rPr>
        <w:t>Concern:</w:t>
      </w:r>
      <w:r w:rsidRPr="00BA41C0">
        <w:t xml:space="preserve"> Soil type correlates with agricultural land use history, which correlates with when an area was developed, which correlates with housing stock vintage and quality. Control for housing age explicitly.</w:t>
      </w:r>
    </w:p>
    <w:p w14:paraId="5EEAAF48" w14:textId="77777777" w:rsidR="00BA41C0" w:rsidRPr="00BA41C0" w:rsidRDefault="00BA41C0" w:rsidP="00BA41C0">
      <w:pPr>
        <w:spacing w:before="100" w:beforeAutospacing="1" w:after="100" w:afterAutospacing="1"/>
      </w:pPr>
      <w:r w:rsidRPr="00BA41C0">
        <w:rPr>
          <w:b/>
          <w:bCs/>
        </w:rPr>
        <w:t>Data:</w:t>
      </w:r>
      <w:r w:rsidRPr="00BA41C0">
        <w:t xml:space="preserve"> Centre for Ecology &amp; Hydrology HOST classification, free download, covers all of GB.</w:t>
      </w:r>
    </w:p>
    <w:p w14:paraId="6C5357D0" w14:textId="77777777" w:rsidR="00BA41C0" w:rsidRPr="00BA41C0" w:rsidRDefault="00A71C42" w:rsidP="00BA41C0">
      <w:r w:rsidRPr="00A71C42">
        <w:rPr>
          <w:noProof/>
          <w14:ligatures w14:val="standardContextual"/>
        </w:rPr>
        <w:pict w14:anchorId="4B8848E6">
          <v:rect id="_x0000_i1040" alt="" style="width:451.3pt;height:.05pt;mso-width-percent:0;mso-height-percent:0;mso-width-percent:0;mso-height-percent:0" o:hralign="center" o:hrstd="t" o:hr="t" fillcolor="#a0a0a0" stroked="f"/>
        </w:pict>
      </w:r>
    </w:p>
    <w:p w14:paraId="545CADAA"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Share E: Position in Network (Upstream/Downstream) </w:t>
      </w:r>
      <w:r w:rsidRPr="00BA41C0">
        <w:rPr>
          <w:rFonts w:ascii="Segoe UI Symbol" w:hAnsi="Segoe UI Symbol" w:cs="Segoe UI Symbol"/>
          <w:b/>
          <w:bCs/>
          <w:sz w:val="27"/>
          <w:szCs w:val="27"/>
        </w:rPr>
        <w:t>✗</w:t>
      </w:r>
      <w:r w:rsidRPr="00BA41C0">
        <w:rPr>
          <w:b/>
          <w:bCs/>
          <w:sz w:val="27"/>
          <w:szCs w:val="27"/>
        </w:rPr>
        <w:t xml:space="preserve"> AMBIGUOUS</w:t>
      </w:r>
    </w:p>
    <w:p w14:paraId="027F2A34" w14:textId="77777777" w:rsidR="00BA41C0" w:rsidRPr="00BA41C0" w:rsidRDefault="00BA41C0" w:rsidP="00BA41C0">
      <w:pPr>
        <w:spacing w:before="100" w:beforeAutospacing="1" w:after="100" w:afterAutospacing="1"/>
      </w:pPr>
      <w:r w:rsidRPr="00BA41C0">
        <w:t xml:space="preserve">As discussed in the previous clarification, network order has theoretically ambiguous sign. </w:t>
      </w:r>
      <w:r w:rsidRPr="00BA41C0">
        <w:rPr>
          <w:b/>
          <w:bCs/>
        </w:rPr>
        <w:t>Drop as a standalone share.</w:t>
      </w:r>
      <w:r w:rsidRPr="00BA41C0">
        <w:t xml:space="preserve"> Use as a moderator (heterogeneity test) rather than an identifying share.</w:t>
      </w:r>
    </w:p>
    <w:p w14:paraId="6382BF64" w14:textId="77777777" w:rsidR="00BA41C0" w:rsidRPr="00BA41C0" w:rsidRDefault="00A71C42" w:rsidP="00BA41C0">
      <w:r w:rsidRPr="00A71C42">
        <w:rPr>
          <w:noProof/>
          <w14:ligatures w14:val="standardContextual"/>
        </w:rPr>
        <w:pict w14:anchorId="7D5AA40E">
          <v:rect id="_x0000_i1039" alt="" style="width:451.3pt;height:.05pt;mso-width-percent:0;mso-height-percent:0;mso-width-percent:0;mso-height-percent:0" o:hralign="center" o:hrstd="t" o:hr="t" fillcolor="#a0a0a0" stroked="f"/>
        </w:pict>
      </w:r>
    </w:p>
    <w:p w14:paraId="29F54981"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Summary: Share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1413"/>
        <w:gridCol w:w="1221"/>
        <w:gridCol w:w="1727"/>
        <w:gridCol w:w="2168"/>
      </w:tblGrid>
      <w:tr w:rsidR="00BA41C0" w:rsidRPr="00BA41C0" w14:paraId="1CDD6B65" w14:textId="77777777">
        <w:trPr>
          <w:tblHeader/>
          <w:tblCellSpacing w:w="15" w:type="dxa"/>
        </w:trPr>
        <w:tc>
          <w:tcPr>
            <w:tcW w:w="0" w:type="auto"/>
            <w:vAlign w:val="center"/>
            <w:hideMark/>
          </w:tcPr>
          <w:p w14:paraId="4211B31A" w14:textId="77777777" w:rsidR="00BA41C0" w:rsidRPr="00BA41C0" w:rsidRDefault="00BA41C0" w:rsidP="00BA41C0">
            <w:pPr>
              <w:jc w:val="center"/>
              <w:rPr>
                <w:b/>
                <w:bCs/>
              </w:rPr>
            </w:pPr>
            <w:r w:rsidRPr="00BA41C0">
              <w:rPr>
                <w:b/>
                <w:bCs/>
              </w:rPr>
              <w:t>Share</w:t>
            </w:r>
          </w:p>
        </w:tc>
        <w:tc>
          <w:tcPr>
            <w:tcW w:w="0" w:type="auto"/>
            <w:vAlign w:val="center"/>
            <w:hideMark/>
          </w:tcPr>
          <w:p w14:paraId="3C10D319" w14:textId="77777777" w:rsidR="00BA41C0" w:rsidRPr="00BA41C0" w:rsidRDefault="00BA41C0" w:rsidP="00BA41C0">
            <w:pPr>
              <w:jc w:val="center"/>
              <w:rPr>
                <w:b/>
                <w:bCs/>
              </w:rPr>
            </w:pPr>
            <w:r w:rsidRPr="00BA41C0">
              <w:rPr>
                <w:b/>
                <w:bCs/>
              </w:rPr>
              <w:t>Exogenous?</w:t>
            </w:r>
          </w:p>
        </w:tc>
        <w:tc>
          <w:tcPr>
            <w:tcW w:w="0" w:type="auto"/>
            <w:vAlign w:val="center"/>
            <w:hideMark/>
          </w:tcPr>
          <w:p w14:paraId="6C7F3A13" w14:textId="77777777" w:rsidR="00BA41C0" w:rsidRPr="00BA41C0" w:rsidRDefault="00BA41C0" w:rsidP="00BA41C0">
            <w:pPr>
              <w:jc w:val="center"/>
              <w:rPr>
                <w:b/>
                <w:bCs/>
              </w:rPr>
            </w:pPr>
            <w:r w:rsidRPr="00BA41C0">
              <w:rPr>
                <w:b/>
                <w:bCs/>
              </w:rPr>
              <w:t>Hydraulic?</w:t>
            </w:r>
          </w:p>
        </w:tc>
        <w:tc>
          <w:tcPr>
            <w:tcW w:w="0" w:type="auto"/>
            <w:vAlign w:val="center"/>
            <w:hideMark/>
          </w:tcPr>
          <w:p w14:paraId="67E3DC7E" w14:textId="77777777" w:rsidR="00BA41C0" w:rsidRPr="00BA41C0" w:rsidRDefault="00BA41C0" w:rsidP="00BA41C0">
            <w:pPr>
              <w:jc w:val="center"/>
              <w:rPr>
                <w:b/>
                <w:bCs/>
              </w:rPr>
            </w:pPr>
            <w:r w:rsidRPr="00BA41C0">
              <w:rPr>
                <w:b/>
                <w:bCs/>
              </w:rPr>
              <w:t>Measurable?</w:t>
            </w:r>
          </w:p>
        </w:tc>
        <w:tc>
          <w:tcPr>
            <w:tcW w:w="0" w:type="auto"/>
            <w:vAlign w:val="center"/>
            <w:hideMark/>
          </w:tcPr>
          <w:p w14:paraId="2B8EB5B3" w14:textId="77777777" w:rsidR="00BA41C0" w:rsidRPr="00BA41C0" w:rsidRDefault="00BA41C0" w:rsidP="00BA41C0">
            <w:pPr>
              <w:jc w:val="center"/>
              <w:rPr>
                <w:b/>
                <w:bCs/>
              </w:rPr>
            </w:pPr>
            <w:r w:rsidRPr="00BA41C0">
              <w:rPr>
                <w:b/>
                <w:bCs/>
              </w:rPr>
              <w:t>Verdict</w:t>
            </w:r>
          </w:p>
        </w:tc>
      </w:tr>
      <w:tr w:rsidR="00BA41C0" w:rsidRPr="00BA41C0" w14:paraId="05605DD5" w14:textId="77777777">
        <w:trPr>
          <w:tblCellSpacing w:w="15" w:type="dxa"/>
        </w:trPr>
        <w:tc>
          <w:tcPr>
            <w:tcW w:w="0" w:type="auto"/>
            <w:vAlign w:val="center"/>
            <w:hideMark/>
          </w:tcPr>
          <w:p w14:paraId="756DD396" w14:textId="77777777" w:rsidR="00BA41C0" w:rsidRPr="00BA41C0" w:rsidRDefault="00BA41C0" w:rsidP="00BA41C0">
            <w:r w:rsidRPr="00BA41C0">
              <w:t>A: Hydraulic slack deficit</w:t>
            </w:r>
          </w:p>
        </w:tc>
        <w:tc>
          <w:tcPr>
            <w:tcW w:w="0" w:type="auto"/>
            <w:vAlign w:val="center"/>
            <w:hideMark/>
          </w:tcPr>
          <w:p w14:paraId="115B0FCA"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6D797A3E"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68538FC3" w14:textId="77777777" w:rsidR="00BA41C0" w:rsidRPr="00BA41C0" w:rsidRDefault="00BA41C0" w:rsidP="00BA41C0">
            <w:r w:rsidRPr="00BA41C0">
              <w:rPr>
                <w:rFonts w:ascii="Segoe UI Symbol" w:hAnsi="Segoe UI Symbol" w:cs="Segoe UI Symbol"/>
              </w:rPr>
              <w:t>✓</w:t>
            </w:r>
            <w:r w:rsidRPr="00BA41C0">
              <w:t xml:space="preserve"> (DEM + distance)</w:t>
            </w:r>
          </w:p>
        </w:tc>
        <w:tc>
          <w:tcPr>
            <w:tcW w:w="0" w:type="auto"/>
            <w:vAlign w:val="center"/>
            <w:hideMark/>
          </w:tcPr>
          <w:p w14:paraId="68BF139D" w14:textId="77777777" w:rsidR="00BA41C0" w:rsidRPr="00BA41C0" w:rsidRDefault="00BA41C0" w:rsidP="00BA41C0">
            <w:r w:rsidRPr="00BA41C0">
              <w:t>Primary</w:t>
            </w:r>
          </w:p>
        </w:tc>
      </w:tr>
      <w:tr w:rsidR="00BA41C0" w:rsidRPr="00BA41C0" w14:paraId="22BFFA61" w14:textId="77777777">
        <w:trPr>
          <w:tblCellSpacing w:w="15" w:type="dxa"/>
        </w:trPr>
        <w:tc>
          <w:tcPr>
            <w:tcW w:w="0" w:type="auto"/>
            <w:vAlign w:val="center"/>
            <w:hideMark/>
          </w:tcPr>
          <w:p w14:paraId="5CFC6827" w14:textId="77777777" w:rsidR="00BA41C0" w:rsidRPr="00BA41C0" w:rsidRDefault="00BA41C0" w:rsidP="00BA41C0">
            <w:r w:rsidRPr="00BA41C0">
              <w:t>B: Elevation disadvantage</w:t>
            </w:r>
          </w:p>
        </w:tc>
        <w:tc>
          <w:tcPr>
            <w:tcW w:w="0" w:type="auto"/>
            <w:vAlign w:val="center"/>
            <w:hideMark/>
          </w:tcPr>
          <w:p w14:paraId="5A348DB6"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2D2D6E63"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42F09BB0" w14:textId="77777777" w:rsidR="00BA41C0" w:rsidRPr="00BA41C0" w:rsidRDefault="00BA41C0" w:rsidP="00BA41C0">
            <w:r w:rsidRPr="00BA41C0">
              <w:rPr>
                <w:rFonts w:ascii="Segoe UI Symbol" w:hAnsi="Segoe UI Symbol" w:cs="Segoe UI Symbol"/>
              </w:rPr>
              <w:t>✓✓</w:t>
            </w:r>
            <w:r w:rsidRPr="00BA41C0">
              <w:t xml:space="preserve"> (DEM only)</w:t>
            </w:r>
          </w:p>
        </w:tc>
        <w:tc>
          <w:tcPr>
            <w:tcW w:w="0" w:type="auto"/>
            <w:vAlign w:val="center"/>
            <w:hideMark/>
          </w:tcPr>
          <w:p w14:paraId="239192F8" w14:textId="77777777" w:rsidR="00BA41C0" w:rsidRPr="00BA41C0" w:rsidRDefault="00BA41C0" w:rsidP="00BA41C0">
            <w:r w:rsidRPr="00BA41C0">
              <w:t>Secondary/robustness</w:t>
            </w:r>
          </w:p>
        </w:tc>
      </w:tr>
      <w:tr w:rsidR="00BA41C0" w:rsidRPr="00BA41C0" w14:paraId="50E9AC45" w14:textId="77777777">
        <w:trPr>
          <w:tblCellSpacing w:w="15" w:type="dxa"/>
        </w:trPr>
        <w:tc>
          <w:tcPr>
            <w:tcW w:w="0" w:type="auto"/>
            <w:vAlign w:val="center"/>
            <w:hideMark/>
          </w:tcPr>
          <w:p w14:paraId="39F51D40" w14:textId="77777777" w:rsidR="00BA41C0" w:rsidRPr="00BA41C0" w:rsidRDefault="00BA41C0" w:rsidP="00BA41C0">
            <w:r w:rsidRPr="00BA41C0">
              <w:t>D: Soil impermeability</w:t>
            </w:r>
          </w:p>
        </w:tc>
        <w:tc>
          <w:tcPr>
            <w:tcW w:w="0" w:type="auto"/>
            <w:vAlign w:val="center"/>
            <w:hideMark/>
          </w:tcPr>
          <w:p w14:paraId="0B6FFB11"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61FF7458"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201F4483" w14:textId="77777777" w:rsidR="00BA41C0" w:rsidRPr="00BA41C0" w:rsidRDefault="00BA41C0" w:rsidP="00BA41C0">
            <w:r w:rsidRPr="00BA41C0">
              <w:rPr>
                <w:rFonts w:ascii="Segoe UI Symbol" w:hAnsi="Segoe UI Symbol" w:cs="Segoe UI Symbol"/>
              </w:rPr>
              <w:t>✓✓</w:t>
            </w:r>
            <w:r w:rsidRPr="00BA41C0">
              <w:t xml:space="preserve"> (HOST, free)</w:t>
            </w:r>
          </w:p>
        </w:tc>
        <w:tc>
          <w:tcPr>
            <w:tcW w:w="0" w:type="auto"/>
            <w:vAlign w:val="center"/>
            <w:hideMark/>
          </w:tcPr>
          <w:p w14:paraId="6A9428AF" w14:textId="77777777" w:rsidR="00BA41C0" w:rsidRPr="00BA41C0" w:rsidRDefault="00BA41C0" w:rsidP="00BA41C0">
            <w:r w:rsidRPr="00BA41C0">
              <w:t>Secondary</w:t>
            </w:r>
          </w:p>
        </w:tc>
      </w:tr>
      <w:tr w:rsidR="00BA41C0" w:rsidRPr="00BA41C0" w14:paraId="4438385A" w14:textId="77777777">
        <w:trPr>
          <w:tblCellSpacing w:w="15" w:type="dxa"/>
        </w:trPr>
        <w:tc>
          <w:tcPr>
            <w:tcW w:w="0" w:type="auto"/>
            <w:vAlign w:val="center"/>
            <w:hideMark/>
          </w:tcPr>
          <w:p w14:paraId="2F82C615" w14:textId="77777777" w:rsidR="00BA41C0" w:rsidRPr="00BA41C0" w:rsidRDefault="00BA41C0" w:rsidP="00BA41C0">
            <w:r w:rsidRPr="00BA41C0">
              <w:t>C: Sub-catchment imperviousness</w:t>
            </w:r>
          </w:p>
        </w:tc>
        <w:tc>
          <w:tcPr>
            <w:tcW w:w="0" w:type="auto"/>
            <w:vAlign w:val="center"/>
            <w:hideMark/>
          </w:tcPr>
          <w:p w14:paraId="46F5E680"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6298924B"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12312044"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01AF7C17" w14:textId="77777777" w:rsidR="00BA41C0" w:rsidRPr="00BA41C0" w:rsidRDefault="00BA41C0" w:rsidP="00BA41C0">
            <w:r w:rsidRPr="00BA41C0">
              <w:t>Control only</w:t>
            </w:r>
          </w:p>
        </w:tc>
      </w:tr>
      <w:tr w:rsidR="00BA41C0" w:rsidRPr="00BA41C0" w14:paraId="646589C4" w14:textId="77777777">
        <w:trPr>
          <w:tblCellSpacing w:w="15" w:type="dxa"/>
        </w:trPr>
        <w:tc>
          <w:tcPr>
            <w:tcW w:w="0" w:type="auto"/>
            <w:vAlign w:val="center"/>
            <w:hideMark/>
          </w:tcPr>
          <w:p w14:paraId="3BD69ECD" w14:textId="77777777" w:rsidR="00BA41C0" w:rsidRPr="00BA41C0" w:rsidRDefault="00BA41C0" w:rsidP="00BA41C0">
            <w:r w:rsidRPr="00BA41C0">
              <w:t>E: Network order</w:t>
            </w:r>
          </w:p>
        </w:tc>
        <w:tc>
          <w:tcPr>
            <w:tcW w:w="0" w:type="auto"/>
            <w:vAlign w:val="center"/>
            <w:hideMark/>
          </w:tcPr>
          <w:p w14:paraId="3397019B" w14:textId="77777777" w:rsidR="00BA41C0" w:rsidRPr="00BA41C0" w:rsidRDefault="00BA41C0" w:rsidP="00BA41C0">
            <w:r w:rsidRPr="00BA41C0">
              <w:rPr>
                <w:rFonts w:ascii="Segoe UI Symbol" w:hAnsi="Segoe UI Symbol" w:cs="Segoe UI Symbol"/>
              </w:rPr>
              <w:t>✗</w:t>
            </w:r>
            <w:r w:rsidRPr="00BA41C0">
              <w:t xml:space="preserve"> (ambiguous)</w:t>
            </w:r>
          </w:p>
        </w:tc>
        <w:tc>
          <w:tcPr>
            <w:tcW w:w="0" w:type="auto"/>
            <w:vAlign w:val="center"/>
            <w:hideMark/>
          </w:tcPr>
          <w:p w14:paraId="432556B3"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0A7BDE22"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4D056E4E" w14:textId="77777777" w:rsidR="00BA41C0" w:rsidRPr="00BA41C0" w:rsidRDefault="00BA41C0" w:rsidP="00BA41C0">
            <w:r w:rsidRPr="00BA41C0">
              <w:t>Drop/heterogeneity</w:t>
            </w:r>
          </w:p>
        </w:tc>
      </w:tr>
    </w:tbl>
    <w:p w14:paraId="2662FF78" w14:textId="77777777" w:rsidR="00BA41C0" w:rsidRPr="00BA41C0" w:rsidRDefault="00A71C42" w:rsidP="00BA41C0">
      <w:r w:rsidRPr="00A71C42">
        <w:rPr>
          <w:noProof/>
          <w14:ligatures w14:val="standardContextual"/>
        </w:rPr>
        <w:pict w14:anchorId="390E327C">
          <v:rect id="_x0000_i1038" alt="" style="width:451.3pt;height:.05pt;mso-width-percent:0;mso-height-percent:0;mso-width-percent:0;mso-height-percent:0" o:hralign="center" o:hrstd="t" o:hr="t" fillcolor="#a0a0a0" stroked="f"/>
        </w:pict>
      </w:r>
    </w:p>
    <w:p w14:paraId="3EEF5B36"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DIMENSION 2: CANDIDATE SHIFTS</w:t>
      </w:r>
    </w:p>
    <w:p w14:paraId="7F8AFE6E" w14:textId="77777777" w:rsidR="00BA41C0" w:rsidRPr="00BA41C0" w:rsidRDefault="00BA41C0" w:rsidP="00BA41C0">
      <w:pPr>
        <w:spacing w:before="100" w:beforeAutospacing="1" w:after="100" w:afterAutospacing="1"/>
      </w:pPr>
      <w:r w:rsidRPr="00BA41C0">
        <w:t xml:space="preserve">The shift g_{k,t} captures </w:t>
      </w:r>
      <w:r w:rsidRPr="00BA41C0">
        <w:rPr>
          <w:b/>
          <w:bCs/>
        </w:rPr>
        <w:t>a common shock to spill intensity that affects all CSOs in catchment k at time t</w:t>
      </w:r>
      <w:r w:rsidRPr="00BA41C0">
        <w:t>, interacting differentially with the shares. A good shift:</w:t>
      </w:r>
    </w:p>
    <w:p w14:paraId="124FBDAC" w14:textId="77777777" w:rsidR="00BA41C0" w:rsidRPr="00BA41C0" w:rsidRDefault="00BA41C0" w:rsidP="00BA41C0">
      <w:pPr>
        <w:numPr>
          <w:ilvl w:val="0"/>
          <w:numId w:val="10"/>
        </w:numPr>
        <w:spacing w:before="100" w:beforeAutospacing="1" w:after="100" w:afterAutospacing="1"/>
      </w:pPr>
      <w:r w:rsidRPr="00BA41C0">
        <w:t xml:space="preserve">Is </w:t>
      </w:r>
      <w:r w:rsidRPr="00BA41C0">
        <w:rPr>
          <w:b/>
          <w:bCs/>
        </w:rPr>
        <w:t>genuinely exogenous</w:t>
      </w:r>
      <w:r w:rsidRPr="00BA41C0">
        <w:t xml:space="preserve"> — not caused by or anticipated by local housing market actors</w:t>
      </w:r>
    </w:p>
    <w:p w14:paraId="182C1EC4" w14:textId="77777777" w:rsidR="00BA41C0" w:rsidRPr="00BA41C0" w:rsidRDefault="00BA41C0" w:rsidP="00BA41C0">
      <w:pPr>
        <w:numPr>
          <w:ilvl w:val="0"/>
          <w:numId w:val="10"/>
        </w:numPr>
        <w:spacing w:before="100" w:beforeAutospacing="1" w:after="100" w:afterAutospacing="1"/>
      </w:pPr>
      <w:r w:rsidRPr="00BA41C0">
        <w:t xml:space="preserve">Has </w:t>
      </w:r>
      <w:r w:rsidRPr="00BA41C0">
        <w:rPr>
          <w:b/>
          <w:bCs/>
        </w:rPr>
        <w:t>sufficient time variation</w:t>
      </w:r>
      <w:r w:rsidRPr="00BA41C0">
        <w:t xml:space="preserve"> — varies meaningfully across years in the study window</w:t>
      </w:r>
    </w:p>
    <w:p w14:paraId="6FA51047" w14:textId="77777777" w:rsidR="00BA41C0" w:rsidRPr="00BA41C0" w:rsidRDefault="00BA41C0" w:rsidP="00BA41C0">
      <w:pPr>
        <w:numPr>
          <w:ilvl w:val="0"/>
          <w:numId w:val="10"/>
        </w:numPr>
        <w:spacing w:before="100" w:beforeAutospacing="1" w:after="100" w:afterAutospacing="1"/>
      </w:pPr>
      <w:r w:rsidRPr="00BA41C0">
        <w:t xml:space="preserve">Has a </w:t>
      </w:r>
      <w:r w:rsidRPr="00BA41C0">
        <w:rPr>
          <w:b/>
          <w:bCs/>
        </w:rPr>
        <w:t>clear hydraulic mechanism</w:t>
      </w:r>
      <w:r w:rsidRPr="00BA41C0">
        <w:t xml:space="preserve"> through which it interacts with each share</w:t>
      </w:r>
    </w:p>
    <w:p w14:paraId="2A6E7426" w14:textId="77777777" w:rsidR="00BA41C0" w:rsidRPr="00BA41C0" w:rsidRDefault="00A71C42" w:rsidP="00BA41C0">
      <w:r w:rsidRPr="00A71C42">
        <w:rPr>
          <w:noProof/>
          <w14:ligatures w14:val="standardContextual"/>
        </w:rPr>
        <w:pict w14:anchorId="23FC7825">
          <v:rect id="_x0000_i1037" alt="" style="width:451.3pt;height:.05pt;mso-width-percent:0;mso-height-percent:0;mso-width-percent:0;mso-height-percent:0" o:hralign="center" o:hrstd="t" o:hr="t" fillcolor="#a0a0a0" stroked="f"/>
        </w:pict>
      </w:r>
    </w:p>
    <w:p w14:paraId="6A6A8F1F"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lastRenderedPageBreak/>
        <w:t xml:space="preserve">Shift 1: Annual Rainfall Deviation </w:t>
      </w:r>
      <w:r w:rsidRPr="00BA41C0">
        <w:rPr>
          <w:rFonts w:ascii="Segoe UI Symbol" w:hAnsi="Segoe UI Symbol" w:cs="Segoe UI Symbol"/>
          <w:b/>
          <w:bCs/>
          <w:sz w:val="27"/>
          <w:szCs w:val="27"/>
        </w:rPr>
        <w:t>✓✓</w:t>
      </w:r>
      <w:r w:rsidRPr="00BA41C0">
        <w:rPr>
          <w:b/>
          <w:bCs/>
          <w:sz w:val="27"/>
          <w:szCs w:val="27"/>
        </w:rPr>
        <w:t xml:space="preserve"> RECOMMENDED PRIMARY (BHJ path)</w:t>
      </w:r>
    </w:p>
    <w:p w14:paraId="150196BE" w14:textId="77777777" w:rsidR="00BA41C0" w:rsidRPr="00BA41C0" w:rsidRDefault="00BA41C0" w:rsidP="00BA41C0">
      <w:pPr>
        <w:spacing w:before="100" w:beforeAutospacing="1" w:after="100" w:afterAutospacing="1"/>
      </w:pPr>
      <w:r w:rsidRPr="00BA41C0">
        <w:rPr>
          <w:b/>
          <w:bCs/>
        </w:rPr>
        <w:t>Definition:</w:t>
      </w:r>
    </w:p>
    <w:p w14:paraId="7900C1E0" w14:textId="77777777" w:rsidR="00BA41C0" w:rsidRPr="00BA41C0" w:rsidRDefault="00BA41C0" w:rsidP="00BA41C0">
      <w:pPr>
        <w:spacing w:before="100" w:beforeAutospacing="1" w:after="100" w:afterAutospacing="1"/>
      </w:pPr>
      <w:r w:rsidRPr="00BA41C0">
        <w:t>g_{k,t} = (Rainfall_{k,t} - Mean_Rainfall_{k,long-run}) / SD_Rainfall_{k,long-run}</w:t>
      </w:r>
    </w:p>
    <w:p w14:paraId="2D1A99D3" w14:textId="77777777" w:rsidR="00BA41C0" w:rsidRPr="00BA41C0" w:rsidRDefault="00BA41C0" w:rsidP="00BA41C0">
      <w:pPr>
        <w:spacing w:before="100" w:beforeAutospacing="1" w:after="100" w:afterAutospacing="1"/>
      </w:pPr>
      <w:r w:rsidRPr="00BA41C0">
        <w:t>Standardised annual rainfall deviation from the long-run mean for the catchment area.</w:t>
      </w:r>
    </w:p>
    <w:p w14:paraId="708BF942" w14:textId="77777777" w:rsidR="00BA41C0" w:rsidRPr="00BA41C0" w:rsidRDefault="00BA41C0" w:rsidP="00BA41C0">
      <w:pPr>
        <w:spacing w:before="100" w:beforeAutospacing="1" w:after="100" w:afterAutospacing="1"/>
      </w:pPr>
      <w:r w:rsidRPr="00BA41C0">
        <w:rPr>
          <w:b/>
          <w:bCs/>
        </w:rPr>
        <w:t>Exogenous?</w:t>
      </w:r>
      <w:r w:rsidRPr="00BA41C0">
        <w:t xml:space="preserve"> Conditional on the long-run mean (which is absorbed as a control), annual deviations are genuinely random — no agent can anticipate or manipulate the weather. This is the cleanest possible shock for the BHJ exogenous-shocks path.</w:t>
      </w:r>
    </w:p>
    <w:p w14:paraId="44E64F5D" w14:textId="77777777" w:rsidR="00BA41C0" w:rsidRPr="00BA41C0" w:rsidRDefault="00BA41C0" w:rsidP="00BA41C0">
      <w:pPr>
        <w:spacing w:before="100" w:beforeAutospacing="1" w:after="100" w:afterAutospacing="1"/>
      </w:pPr>
      <w:r w:rsidRPr="00BA41C0">
        <w:rPr>
          <w:b/>
          <w:bCs/>
        </w:rPr>
        <w:t>Time variation?</w:t>
      </w:r>
      <w:r w:rsidRPr="00BA41C0">
        <w:t xml:space="preserve"> Substantial — UK annual rainfall varies by ±30% around the mean. Sufficient variation across the 2016–2024 EDM window.</w:t>
      </w:r>
    </w:p>
    <w:p w14:paraId="527F7C53" w14:textId="77777777" w:rsidR="00BA41C0" w:rsidRPr="00BA41C0" w:rsidRDefault="00BA41C0" w:rsidP="00BA41C0">
      <w:pPr>
        <w:spacing w:before="100" w:beforeAutospacing="1" w:after="100" w:afterAutospacing="1"/>
      </w:pPr>
      <w:r w:rsidRPr="00BA41C0">
        <w:rPr>
          <w:b/>
          <w:bCs/>
        </w:rPr>
        <w:t>Hydraulic mechanism:</w:t>
      </w:r>
      <w:r w:rsidRPr="00BA41C0">
        <w:t xml:space="preserve"> More rainfall → more storm inflow to combined sewers → higher total flow → CSOs with less slack spill more. The interaction with Share A (hydraulic slack deficit) is clean: the sensitivity of spill intensity to rainfall is precisely what the slack deficit measures.</w:t>
      </w:r>
    </w:p>
    <w:p w14:paraId="7FD15850" w14:textId="77777777" w:rsidR="00BA41C0" w:rsidRPr="00BA41C0" w:rsidRDefault="00BA41C0" w:rsidP="00BA41C0">
      <w:pPr>
        <w:spacing w:before="100" w:beforeAutospacing="1" w:after="100" w:afterAutospacing="1"/>
      </w:pPr>
      <w:r w:rsidRPr="00BA41C0">
        <w:rPr>
          <w:b/>
          <w:bCs/>
        </w:rPr>
        <w:t>Direct channel to house prices?</w:t>
      </w:r>
      <w:r w:rsidRPr="00BA41C0">
        <w:t xml:space="preserve"> This was the earlier concern. But note:</w:t>
      </w:r>
    </w:p>
    <w:p w14:paraId="1D35DEF0" w14:textId="77777777" w:rsidR="00BA41C0" w:rsidRPr="00BA41C0" w:rsidRDefault="00BA41C0" w:rsidP="00BA41C0">
      <w:pPr>
        <w:numPr>
          <w:ilvl w:val="0"/>
          <w:numId w:val="11"/>
        </w:numPr>
        <w:spacing w:before="100" w:beforeAutospacing="1" w:after="100" w:afterAutospacing="1"/>
      </w:pPr>
      <w:r w:rsidRPr="00BA41C0">
        <w:t xml:space="preserve">The concern was about </w:t>
      </w:r>
      <w:r w:rsidRPr="00BA41C0">
        <w:rPr>
          <w:b/>
          <w:bCs/>
        </w:rPr>
        <w:t>level</w:t>
      </w:r>
      <w:r w:rsidRPr="00BA41C0">
        <w:t xml:space="preserve"> of rainfall affecting prices (damp areas, flood risk)</w:t>
      </w:r>
    </w:p>
    <w:p w14:paraId="36B669FD" w14:textId="77777777" w:rsidR="00BA41C0" w:rsidRPr="00BA41C0" w:rsidRDefault="00BA41C0" w:rsidP="00BA41C0">
      <w:pPr>
        <w:numPr>
          <w:ilvl w:val="0"/>
          <w:numId w:val="11"/>
        </w:numPr>
        <w:spacing w:before="100" w:beforeAutospacing="1" w:after="100" w:afterAutospacing="1"/>
      </w:pPr>
      <w:r w:rsidRPr="00BA41C0">
        <w:t>This is absorbed by controlling for mean annual rainfall directly</w:t>
      </w:r>
    </w:p>
    <w:p w14:paraId="0F0CEFB9" w14:textId="77777777" w:rsidR="00BA41C0" w:rsidRPr="00BA41C0" w:rsidRDefault="00BA41C0" w:rsidP="00BA41C0">
      <w:pPr>
        <w:numPr>
          <w:ilvl w:val="0"/>
          <w:numId w:val="11"/>
        </w:numPr>
        <w:spacing w:before="100" w:beforeAutospacing="1" w:after="100" w:afterAutospacing="1"/>
      </w:pPr>
      <w:r w:rsidRPr="00BA41C0">
        <w:t xml:space="preserve">What remains — </w:t>
      </w:r>
      <w:r w:rsidRPr="00BA41C0">
        <w:rPr>
          <w:b/>
          <w:bCs/>
        </w:rPr>
        <w:t>deviations</w:t>
      </w:r>
      <w:r w:rsidRPr="00BA41C0">
        <w:t xml:space="preserve"> from the long-run mean — affects prices mainly through flooding events, which are separate from CSO activity and can be controlled for using EA flood event data</w:t>
      </w:r>
    </w:p>
    <w:p w14:paraId="7E553364" w14:textId="77777777" w:rsidR="00BA41C0" w:rsidRPr="00BA41C0" w:rsidRDefault="00BA41C0" w:rsidP="00BA41C0">
      <w:pPr>
        <w:spacing w:before="100" w:beforeAutospacing="1" w:after="100" w:afterAutospacing="1"/>
      </w:pPr>
      <w:r w:rsidRPr="00BA41C0">
        <w:rPr>
          <w:b/>
          <w:bCs/>
        </w:rPr>
        <w:t>Data:</w:t>
      </w:r>
      <w:r w:rsidRPr="00BA41C0">
        <w:t xml:space="preserve"> Met Office HadUK-Grid (1km resolution, 1891–present), freely available for research. Centre for Ecology &amp; Hydrology NRFA also provides catchment rainfall data.</w:t>
      </w:r>
    </w:p>
    <w:p w14:paraId="25A18375" w14:textId="77777777" w:rsidR="00BA41C0" w:rsidRPr="00BA41C0" w:rsidRDefault="00BA41C0" w:rsidP="00BA41C0">
      <w:pPr>
        <w:spacing w:before="100" w:beforeAutospacing="1" w:after="100" w:afterAutospacing="1"/>
      </w:pPr>
      <w:r w:rsidRPr="00BA41C0">
        <w:rPr>
          <w:b/>
          <w:bCs/>
        </w:rPr>
        <w:t>Standard errors:</w:t>
      </w:r>
      <w:r w:rsidRPr="00BA41C0">
        <w:t xml:space="preserve"> Must cluster at the catchment-year level (the shock level), using BHJ's ssaggregate method.</w:t>
      </w:r>
    </w:p>
    <w:p w14:paraId="403CEA35" w14:textId="77777777" w:rsidR="00BA41C0" w:rsidRPr="00BA41C0" w:rsidRDefault="00A71C42" w:rsidP="00BA41C0">
      <w:r w:rsidRPr="00A71C42">
        <w:rPr>
          <w:noProof/>
          <w14:ligatures w14:val="standardContextual"/>
        </w:rPr>
        <w:pict w14:anchorId="3AE6DE26">
          <v:rect id="_x0000_i1036" alt="" style="width:451.3pt;height:.05pt;mso-width-percent:0;mso-height-percent:0;mso-width-percent:0;mso-height-percent:0" o:hralign="center" o:hrstd="t" o:hr="t" fillcolor="#a0a0a0" stroked="f"/>
        </w:pict>
      </w:r>
    </w:p>
    <w:p w14:paraId="7BF1D0C3"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Shift 2: New Residential Dwellings (Population/Sewage Volume) </w:t>
      </w:r>
      <w:r w:rsidRPr="00BA41C0">
        <w:rPr>
          <w:rFonts w:ascii="Segoe UI Symbol" w:hAnsi="Segoe UI Symbol" w:cs="Segoe UI Symbol"/>
          <w:b/>
          <w:bCs/>
          <w:sz w:val="27"/>
          <w:szCs w:val="27"/>
        </w:rPr>
        <w:t>✓</w:t>
      </w:r>
      <w:r w:rsidRPr="00BA41C0">
        <w:rPr>
          <w:b/>
          <w:bCs/>
          <w:sz w:val="27"/>
          <w:szCs w:val="27"/>
        </w:rPr>
        <w:t xml:space="preserve"> RECOMMENDED SECONDARY (GSP path)</w:t>
      </w:r>
    </w:p>
    <w:p w14:paraId="06E2BD0F" w14:textId="77777777" w:rsidR="00BA41C0" w:rsidRPr="00BA41C0" w:rsidRDefault="00BA41C0" w:rsidP="00BA41C0">
      <w:pPr>
        <w:spacing w:before="100" w:beforeAutospacing="1" w:after="100" w:afterAutospacing="1"/>
      </w:pPr>
      <w:r w:rsidRPr="00BA41C0">
        <w:rPr>
          <w:b/>
          <w:bCs/>
        </w:rPr>
        <w:t>Definition:</w:t>
      </w:r>
    </w:p>
    <w:p w14:paraId="437B916F" w14:textId="77777777" w:rsidR="00BA41C0" w:rsidRPr="00BA41C0" w:rsidRDefault="00BA41C0" w:rsidP="00BA41C0">
      <w:pPr>
        <w:spacing w:before="100" w:beforeAutospacing="1" w:after="100" w:afterAutospacing="1"/>
      </w:pPr>
      <w:r w:rsidRPr="00BA41C0">
        <w:t>g_{k,t} = ΔDwellings_{sub-catchment(j),t} = net new completions in CSO j's contributing catchment in year t</w:t>
      </w:r>
    </w:p>
    <w:p w14:paraId="768736DF" w14:textId="77777777" w:rsidR="00BA41C0" w:rsidRPr="00BA41C0" w:rsidRDefault="00BA41C0" w:rsidP="00BA41C0">
      <w:pPr>
        <w:spacing w:before="100" w:beforeAutospacing="1" w:after="100" w:afterAutospacing="1"/>
      </w:pPr>
      <w:r w:rsidRPr="00BA41C0">
        <w:rPr>
          <w:b/>
          <w:bCs/>
        </w:rPr>
        <w:t>Exogenous?</w:t>
      </w:r>
      <w:r w:rsidRPr="00BA41C0">
        <w:t xml:space="preserve"> Partially — planning decisions are made by local authorities, but the specific </w:t>
      </w:r>
      <w:r w:rsidRPr="00BA41C0">
        <w:rPr>
          <w:i/>
          <w:iCs/>
        </w:rPr>
        <w:t>timing</w:t>
      </w:r>
      <w:r w:rsidRPr="00BA41C0">
        <w:t xml:space="preserve"> and </w:t>
      </w:r>
      <w:r w:rsidRPr="00BA41C0">
        <w:rPr>
          <w:i/>
          <w:iCs/>
        </w:rPr>
        <w:t>location</w:t>
      </w:r>
      <w:r w:rsidRPr="00BA41C0">
        <w:t xml:space="preserve"> of completions within a WwTW catchment is subject to developer behaviour and construction timelines that are plausibly exogenous to any specific CSO's spill </w:t>
      </w:r>
      <w:r w:rsidRPr="00BA41C0">
        <w:lastRenderedPageBreak/>
        <w:t xml:space="preserve">history. More defensible when using only completions in the </w:t>
      </w:r>
      <w:r w:rsidRPr="00BA41C0">
        <w:rPr>
          <w:b/>
          <w:bCs/>
        </w:rPr>
        <w:t>upstream</w:t>
      </w:r>
      <w:r w:rsidRPr="00BA41C0">
        <w:t xml:space="preserve"> contributing area (away from the CSO outfall disamenity zone).</w:t>
      </w:r>
    </w:p>
    <w:p w14:paraId="3C510A43" w14:textId="77777777" w:rsidR="00BA41C0" w:rsidRPr="00BA41C0" w:rsidRDefault="00BA41C0" w:rsidP="00BA41C0">
      <w:pPr>
        <w:spacing w:before="100" w:beforeAutospacing="1" w:after="100" w:afterAutospacing="1"/>
      </w:pPr>
      <w:r w:rsidRPr="00BA41C0">
        <w:rPr>
          <w:b/>
          <w:bCs/>
        </w:rPr>
        <w:t>Time variation?</w:t>
      </w:r>
      <w:r w:rsidRPr="00BA41C0">
        <w:t xml:space="preserve"> Moderate to good — housing completions vary significantly year to year. However, serial correlation in development (areas that see development tend to continue seeing development) is a concern. Use annual deviations from the sub-catchment's long-run development trend to extract the exogenous component.</w:t>
      </w:r>
    </w:p>
    <w:p w14:paraId="0C0392EC" w14:textId="77777777" w:rsidR="00BA41C0" w:rsidRPr="00BA41C0" w:rsidRDefault="00BA41C0" w:rsidP="00BA41C0">
      <w:pPr>
        <w:spacing w:before="100" w:beforeAutospacing="1" w:after="100" w:afterAutospacing="1"/>
      </w:pPr>
      <w:r w:rsidRPr="00BA41C0">
        <w:rPr>
          <w:b/>
          <w:bCs/>
        </w:rPr>
        <w:t>Hydraulic mechanism:</w:t>
      </w:r>
      <w:r w:rsidRPr="00BA41C0">
        <w:t xml:space="preserve"> New dwellings → permanent increase in DWF → interacts with hydraulic slack deficit because constrained CSOs are more sensitive to baseline flow increases.</w:t>
      </w:r>
    </w:p>
    <w:p w14:paraId="00280E67" w14:textId="77777777" w:rsidR="00BA41C0" w:rsidRPr="00BA41C0" w:rsidRDefault="00BA41C0" w:rsidP="00BA41C0">
      <w:pPr>
        <w:spacing w:before="100" w:beforeAutospacing="1" w:after="100" w:afterAutospacing="1"/>
      </w:pPr>
      <w:r w:rsidRPr="00BA41C0">
        <w:rPr>
          <w:b/>
          <w:bCs/>
        </w:rPr>
        <w:t>Concern compared to rainfall:</w:t>
      </w:r>
      <w:r w:rsidRPr="00BA41C0">
        <w:t xml:space="preserve"> Unlike rainfall, dwelling growth is not genuinely random — it reflects planning policy, developer expectations, and land availability. The BHJ identification path (exogenous shocks) is less convincing here. The GSP path (exogenous shares) works: even if dwelling growth is endogenous, the instrument is still valid as long as the </w:t>
      </w:r>
      <w:r w:rsidRPr="00BA41C0">
        <w:rPr>
          <w:i/>
          <w:iCs/>
        </w:rPr>
        <w:t>shares</w:t>
      </w:r>
      <w:r w:rsidRPr="00BA41C0">
        <w:t xml:space="preserve"> (hydraulic slack) are exogenous. Use this shift under the GSP framework with the share-exogeneity argument.</w:t>
      </w:r>
    </w:p>
    <w:p w14:paraId="1BBD2E68" w14:textId="77777777" w:rsidR="00BA41C0" w:rsidRPr="00BA41C0" w:rsidRDefault="00BA41C0" w:rsidP="00BA41C0">
      <w:pPr>
        <w:spacing w:before="100" w:beforeAutospacing="1" w:after="100" w:afterAutospacing="1"/>
      </w:pPr>
      <w:r w:rsidRPr="00BA41C0">
        <w:rPr>
          <w:b/>
          <w:bCs/>
        </w:rPr>
        <w:t>Data:</w:t>
      </w:r>
      <w:r w:rsidRPr="00BA41C0">
        <w:t xml:space="preserve"> Land Registry Price Paid (new build flag, geocoded), MHCLG housing completions by local authority, MHCLG planning portal data.</w:t>
      </w:r>
    </w:p>
    <w:p w14:paraId="43AA0CF8" w14:textId="77777777" w:rsidR="00BA41C0" w:rsidRPr="00BA41C0" w:rsidRDefault="00A71C42" w:rsidP="00BA41C0">
      <w:r w:rsidRPr="00A71C42">
        <w:rPr>
          <w:noProof/>
          <w14:ligatures w14:val="standardContextual"/>
        </w:rPr>
        <w:pict w14:anchorId="02D3A152">
          <v:rect id="_x0000_i1035" alt="" style="width:451.3pt;height:.05pt;mso-width-percent:0;mso-height-percent:0;mso-width-percent:0;mso-height-percent:0" o:hralign="center" o:hrstd="t" o:hr="t" fillcolor="#a0a0a0" stroked="f"/>
        </w:pict>
      </w:r>
    </w:p>
    <w:p w14:paraId="6DC06F5E"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Shift 3: WwTW Capacity Changes </w:t>
      </w:r>
      <w:r w:rsidRPr="00BA41C0">
        <w:rPr>
          <w:rFonts w:ascii="Segoe UI Symbol" w:hAnsi="Segoe UI Symbol" w:cs="Segoe UI Symbol"/>
          <w:b/>
          <w:bCs/>
          <w:sz w:val="27"/>
          <w:szCs w:val="27"/>
        </w:rPr>
        <w:t>✗</w:t>
      </w:r>
      <w:r w:rsidRPr="00BA41C0">
        <w:rPr>
          <w:b/>
          <w:bCs/>
          <w:sz w:val="27"/>
          <w:szCs w:val="27"/>
        </w:rPr>
        <w:t xml:space="preserve"> AVOID</w:t>
      </w:r>
    </w:p>
    <w:p w14:paraId="0A7D4ADC" w14:textId="77777777" w:rsidR="00BA41C0" w:rsidRPr="00BA41C0" w:rsidRDefault="00BA41C0" w:rsidP="00BA41C0">
      <w:pPr>
        <w:spacing w:before="100" w:beforeAutospacing="1" w:after="100" w:afterAutospacing="1"/>
      </w:pPr>
      <w:r w:rsidRPr="00BA41C0">
        <w:t>As discussed: endogenous to spill performance, too infrequent, and anticipated. Discard.</w:t>
      </w:r>
    </w:p>
    <w:p w14:paraId="03AD8802" w14:textId="77777777" w:rsidR="00BA41C0" w:rsidRPr="00BA41C0" w:rsidRDefault="00A71C42" w:rsidP="00BA41C0">
      <w:r w:rsidRPr="00A71C42">
        <w:rPr>
          <w:noProof/>
          <w14:ligatures w14:val="standardContextual"/>
        </w:rPr>
        <w:pict w14:anchorId="5EF16F53">
          <v:rect id="_x0000_i1034" alt="" style="width:451.3pt;height:.05pt;mso-width-percent:0;mso-height-percent:0;mso-width-percent:0;mso-height-percent:0" o:hralign="center" o:hrstd="t" o:hr="t" fillcolor="#a0a0a0" stroked="f"/>
        </w:pict>
      </w:r>
    </w:p>
    <w:p w14:paraId="33475D0A"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Shift 4: WINEP Investment Intensity </w:t>
      </w:r>
      <w:r w:rsidRPr="00BA41C0">
        <w:rPr>
          <w:rFonts w:ascii="Segoe UI Symbol" w:hAnsi="Segoe UI Symbol" w:cs="Segoe UI Symbol"/>
          <w:b/>
          <w:bCs/>
          <w:sz w:val="27"/>
          <w:szCs w:val="27"/>
        </w:rPr>
        <w:t>✗</w:t>
      </w:r>
      <w:r w:rsidRPr="00BA41C0">
        <w:rPr>
          <w:b/>
          <w:bCs/>
          <w:sz w:val="27"/>
          <w:szCs w:val="27"/>
        </w:rPr>
        <w:t xml:space="preserve"> AVOID</w:t>
      </w:r>
    </w:p>
    <w:p w14:paraId="53C917D5" w14:textId="77777777" w:rsidR="00BA41C0" w:rsidRPr="00BA41C0" w:rsidRDefault="00BA41C0" w:rsidP="00BA41C0">
      <w:pPr>
        <w:spacing w:before="100" w:beforeAutospacing="1" w:after="100" w:afterAutospacing="1"/>
      </w:pPr>
      <w:r w:rsidRPr="00BA41C0">
        <w:t>WINEP investment is explicitly allocated in response to poor environmental performance — i.e., high spill intensity. This is the opposite of exogenous.</w:t>
      </w:r>
    </w:p>
    <w:p w14:paraId="64A41FFE" w14:textId="77777777" w:rsidR="00BA41C0" w:rsidRPr="00BA41C0" w:rsidRDefault="00A71C42" w:rsidP="00BA41C0">
      <w:r w:rsidRPr="00A71C42">
        <w:rPr>
          <w:noProof/>
          <w14:ligatures w14:val="standardContextual"/>
        </w:rPr>
        <w:pict w14:anchorId="1A4D0420">
          <v:rect id="_x0000_i1033" alt="" style="width:451.3pt;height:.05pt;mso-width-percent:0;mso-height-percent:0;mso-width-percent:0;mso-height-percent:0" o:hralign="center" o:hrstd="t" o:hr="t" fillcolor="#a0a0a0" stroked="f"/>
        </w:pict>
      </w:r>
    </w:p>
    <w:p w14:paraId="076C3668"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Shift 5: Regulatory DWF Multiplier Changes </w:t>
      </w:r>
      <w:r w:rsidRPr="00BA41C0">
        <w:rPr>
          <w:rFonts w:ascii="Segoe UI Symbol" w:hAnsi="Segoe UI Symbol" w:cs="Segoe UI Symbol"/>
          <w:b/>
          <w:bCs/>
          <w:sz w:val="27"/>
          <w:szCs w:val="27"/>
        </w:rPr>
        <w:t>✓</w:t>
      </w:r>
      <w:r w:rsidRPr="00BA41C0">
        <w:rPr>
          <w:b/>
          <w:bCs/>
          <w:sz w:val="27"/>
          <w:szCs w:val="27"/>
        </w:rPr>
        <w:t xml:space="preserve"> POSSIBLE BUT WEAK</w:t>
      </w:r>
    </w:p>
    <w:p w14:paraId="5D6FF32B" w14:textId="77777777" w:rsidR="00BA41C0" w:rsidRPr="00BA41C0" w:rsidRDefault="00BA41C0" w:rsidP="00BA41C0">
      <w:pPr>
        <w:spacing w:before="100" w:beforeAutospacing="1" w:after="100" w:afterAutospacing="1"/>
      </w:pPr>
      <w:r w:rsidRPr="00BA41C0">
        <w:rPr>
          <w:b/>
          <w:bCs/>
        </w:rPr>
        <w:t>Definition:</w:t>
      </w:r>
      <w:r w:rsidRPr="00BA41C0">
        <w:t xml:space="preserve"> Changes in the permitted flow-to-full-treatment (FFT) ratio at the WwTW (e.g., from 3×DWF to 2.5×DWF under tightened permit conditions).</w:t>
      </w:r>
    </w:p>
    <w:p w14:paraId="2AD0AC16" w14:textId="77777777" w:rsidR="00BA41C0" w:rsidRPr="00BA41C0" w:rsidRDefault="00BA41C0" w:rsidP="00BA41C0">
      <w:pPr>
        <w:spacing w:before="100" w:beforeAutospacing="1" w:after="100" w:afterAutospacing="1"/>
      </w:pPr>
      <w:r w:rsidRPr="00BA41C0">
        <w:rPr>
          <w:b/>
          <w:bCs/>
        </w:rPr>
        <w:t>Exogenous?</w:t>
      </w:r>
      <w:r w:rsidRPr="00BA41C0">
        <w:t xml:space="preserve"> Regulatory changes to permit conditions are national policy decisions, but they are applied selectively to WwTWs that are non-compliant or in sensitive receiving water catchments. Not cleanly exogenous.</w:t>
      </w:r>
    </w:p>
    <w:p w14:paraId="22669E50" w14:textId="77777777" w:rsidR="00BA41C0" w:rsidRPr="00BA41C0" w:rsidRDefault="00BA41C0" w:rsidP="00BA41C0">
      <w:pPr>
        <w:spacing w:before="100" w:beforeAutospacing="1" w:after="100" w:afterAutospacing="1"/>
      </w:pPr>
      <w:r w:rsidRPr="00BA41C0">
        <w:rPr>
          <w:b/>
          <w:bCs/>
        </w:rPr>
        <w:t>Time variation?</w:t>
      </w:r>
      <w:r w:rsidRPr="00BA41C0">
        <w:t xml:space="preserve"> Very limited in the 2016–2024 window.</w:t>
      </w:r>
    </w:p>
    <w:p w14:paraId="55D42021" w14:textId="77777777" w:rsidR="00BA41C0" w:rsidRPr="00BA41C0" w:rsidRDefault="00BA41C0" w:rsidP="00BA41C0">
      <w:pPr>
        <w:spacing w:before="100" w:beforeAutospacing="1" w:after="100" w:afterAutospacing="1"/>
      </w:pPr>
      <w:r w:rsidRPr="00BA41C0">
        <w:rPr>
          <w:b/>
          <w:bCs/>
        </w:rPr>
        <w:t>Verdict:</w:t>
      </w:r>
      <w:r w:rsidRPr="00BA41C0">
        <w:t xml:space="preserve"> Insufficient variation and questionable exogeneity. Do not use as primary shift.</w:t>
      </w:r>
    </w:p>
    <w:p w14:paraId="45E16D40" w14:textId="77777777" w:rsidR="00BA41C0" w:rsidRPr="00BA41C0" w:rsidRDefault="00A71C42" w:rsidP="00BA41C0">
      <w:r w:rsidRPr="00A71C42">
        <w:rPr>
          <w:noProof/>
          <w14:ligatures w14:val="standardContextual"/>
        </w:rPr>
        <w:lastRenderedPageBreak/>
        <w:pict w14:anchorId="5BEE51D8">
          <v:rect id="_x0000_i1032" alt="" style="width:451.3pt;height:.05pt;mso-width-percent:0;mso-height-percent:0;mso-width-percent:0;mso-height-percent:0" o:hralign="center" o:hrstd="t" o:hr="t" fillcolor="#a0a0a0" stroked="f"/>
        </w:pict>
      </w:r>
    </w:p>
    <w:p w14:paraId="7429133A"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Summary: Shift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1287"/>
        <w:gridCol w:w="1707"/>
        <w:gridCol w:w="1367"/>
        <w:gridCol w:w="540"/>
        <w:gridCol w:w="1088"/>
      </w:tblGrid>
      <w:tr w:rsidR="00BA41C0" w:rsidRPr="00BA41C0" w14:paraId="0B6382EA" w14:textId="77777777">
        <w:trPr>
          <w:tblHeader/>
          <w:tblCellSpacing w:w="15" w:type="dxa"/>
        </w:trPr>
        <w:tc>
          <w:tcPr>
            <w:tcW w:w="0" w:type="auto"/>
            <w:vAlign w:val="center"/>
            <w:hideMark/>
          </w:tcPr>
          <w:p w14:paraId="66D3963F" w14:textId="77777777" w:rsidR="00BA41C0" w:rsidRPr="00BA41C0" w:rsidRDefault="00BA41C0" w:rsidP="00BA41C0">
            <w:pPr>
              <w:jc w:val="center"/>
              <w:rPr>
                <w:b/>
                <w:bCs/>
              </w:rPr>
            </w:pPr>
            <w:r w:rsidRPr="00BA41C0">
              <w:rPr>
                <w:b/>
                <w:bCs/>
              </w:rPr>
              <w:t>Shift</w:t>
            </w:r>
          </w:p>
        </w:tc>
        <w:tc>
          <w:tcPr>
            <w:tcW w:w="0" w:type="auto"/>
            <w:vAlign w:val="center"/>
            <w:hideMark/>
          </w:tcPr>
          <w:p w14:paraId="5E37EA98" w14:textId="77777777" w:rsidR="00BA41C0" w:rsidRPr="00BA41C0" w:rsidRDefault="00BA41C0" w:rsidP="00BA41C0">
            <w:pPr>
              <w:jc w:val="center"/>
              <w:rPr>
                <w:b/>
                <w:bCs/>
              </w:rPr>
            </w:pPr>
            <w:r w:rsidRPr="00BA41C0">
              <w:rPr>
                <w:b/>
                <w:bCs/>
              </w:rPr>
              <w:t>Exogenous?</w:t>
            </w:r>
          </w:p>
        </w:tc>
        <w:tc>
          <w:tcPr>
            <w:tcW w:w="0" w:type="auto"/>
            <w:vAlign w:val="center"/>
            <w:hideMark/>
          </w:tcPr>
          <w:p w14:paraId="222F9ECA" w14:textId="77777777" w:rsidR="00BA41C0" w:rsidRPr="00BA41C0" w:rsidRDefault="00BA41C0" w:rsidP="00BA41C0">
            <w:pPr>
              <w:jc w:val="center"/>
              <w:rPr>
                <w:b/>
                <w:bCs/>
              </w:rPr>
            </w:pPr>
            <w:r w:rsidRPr="00BA41C0">
              <w:rPr>
                <w:b/>
                <w:bCs/>
              </w:rPr>
              <w:t>Time variation?</w:t>
            </w:r>
          </w:p>
        </w:tc>
        <w:tc>
          <w:tcPr>
            <w:tcW w:w="0" w:type="auto"/>
            <w:vAlign w:val="center"/>
            <w:hideMark/>
          </w:tcPr>
          <w:p w14:paraId="17EB6F7F" w14:textId="77777777" w:rsidR="00BA41C0" w:rsidRPr="00BA41C0" w:rsidRDefault="00BA41C0" w:rsidP="00BA41C0">
            <w:pPr>
              <w:jc w:val="center"/>
              <w:rPr>
                <w:b/>
                <w:bCs/>
              </w:rPr>
            </w:pPr>
            <w:r w:rsidRPr="00BA41C0">
              <w:rPr>
                <w:b/>
                <w:bCs/>
              </w:rPr>
              <w:t>Mechanism?</w:t>
            </w:r>
          </w:p>
        </w:tc>
        <w:tc>
          <w:tcPr>
            <w:tcW w:w="0" w:type="auto"/>
            <w:vAlign w:val="center"/>
            <w:hideMark/>
          </w:tcPr>
          <w:p w14:paraId="3E2112E2" w14:textId="77777777" w:rsidR="00BA41C0" w:rsidRPr="00BA41C0" w:rsidRDefault="00BA41C0" w:rsidP="00BA41C0">
            <w:pPr>
              <w:jc w:val="center"/>
              <w:rPr>
                <w:b/>
                <w:bCs/>
              </w:rPr>
            </w:pPr>
            <w:r w:rsidRPr="00BA41C0">
              <w:rPr>
                <w:b/>
                <w:bCs/>
              </w:rPr>
              <w:t>Path</w:t>
            </w:r>
          </w:p>
        </w:tc>
        <w:tc>
          <w:tcPr>
            <w:tcW w:w="0" w:type="auto"/>
            <w:vAlign w:val="center"/>
            <w:hideMark/>
          </w:tcPr>
          <w:p w14:paraId="15DE4757" w14:textId="77777777" w:rsidR="00BA41C0" w:rsidRPr="00BA41C0" w:rsidRDefault="00BA41C0" w:rsidP="00BA41C0">
            <w:pPr>
              <w:jc w:val="center"/>
              <w:rPr>
                <w:b/>
                <w:bCs/>
              </w:rPr>
            </w:pPr>
            <w:r w:rsidRPr="00BA41C0">
              <w:rPr>
                <w:b/>
                <w:bCs/>
              </w:rPr>
              <w:t>Verdict</w:t>
            </w:r>
          </w:p>
        </w:tc>
      </w:tr>
      <w:tr w:rsidR="00BA41C0" w:rsidRPr="00BA41C0" w14:paraId="2FAB86A3" w14:textId="77777777">
        <w:trPr>
          <w:tblCellSpacing w:w="15" w:type="dxa"/>
        </w:trPr>
        <w:tc>
          <w:tcPr>
            <w:tcW w:w="0" w:type="auto"/>
            <w:vAlign w:val="center"/>
            <w:hideMark/>
          </w:tcPr>
          <w:p w14:paraId="03A2083A" w14:textId="77777777" w:rsidR="00BA41C0" w:rsidRPr="00BA41C0" w:rsidRDefault="00BA41C0" w:rsidP="00BA41C0">
            <w:r w:rsidRPr="00BA41C0">
              <w:t>1: Rainfall deviation</w:t>
            </w:r>
          </w:p>
        </w:tc>
        <w:tc>
          <w:tcPr>
            <w:tcW w:w="0" w:type="auto"/>
            <w:vAlign w:val="center"/>
            <w:hideMark/>
          </w:tcPr>
          <w:p w14:paraId="7A225BE7"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132CAE06"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341CCE75"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502933C6" w14:textId="77777777" w:rsidR="00BA41C0" w:rsidRPr="00BA41C0" w:rsidRDefault="00BA41C0" w:rsidP="00BA41C0">
            <w:r w:rsidRPr="00BA41C0">
              <w:t>BHJ</w:t>
            </w:r>
          </w:p>
        </w:tc>
        <w:tc>
          <w:tcPr>
            <w:tcW w:w="0" w:type="auto"/>
            <w:vAlign w:val="center"/>
            <w:hideMark/>
          </w:tcPr>
          <w:p w14:paraId="57B40187" w14:textId="77777777" w:rsidR="00BA41C0" w:rsidRPr="00BA41C0" w:rsidRDefault="00BA41C0" w:rsidP="00BA41C0">
            <w:r w:rsidRPr="00BA41C0">
              <w:t>Primary</w:t>
            </w:r>
          </w:p>
        </w:tc>
      </w:tr>
      <w:tr w:rsidR="00BA41C0" w:rsidRPr="00BA41C0" w14:paraId="061B5EA6" w14:textId="77777777">
        <w:trPr>
          <w:tblCellSpacing w:w="15" w:type="dxa"/>
        </w:trPr>
        <w:tc>
          <w:tcPr>
            <w:tcW w:w="0" w:type="auto"/>
            <w:vAlign w:val="center"/>
            <w:hideMark/>
          </w:tcPr>
          <w:p w14:paraId="6258F8F3" w14:textId="77777777" w:rsidR="00BA41C0" w:rsidRPr="00BA41C0" w:rsidRDefault="00BA41C0" w:rsidP="00BA41C0">
            <w:r w:rsidRPr="00BA41C0">
              <w:t>2: Dwelling growth</w:t>
            </w:r>
          </w:p>
        </w:tc>
        <w:tc>
          <w:tcPr>
            <w:tcW w:w="0" w:type="auto"/>
            <w:vAlign w:val="center"/>
            <w:hideMark/>
          </w:tcPr>
          <w:p w14:paraId="0A536509" w14:textId="77777777" w:rsidR="00BA41C0" w:rsidRPr="00BA41C0" w:rsidRDefault="00BA41C0" w:rsidP="00BA41C0">
            <w:r w:rsidRPr="00BA41C0">
              <w:rPr>
                <w:rFonts w:ascii="Segoe UI Symbol" w:hAnsi="Segoe UI Symbol" w:cs="Segoe UI Symbol"/>
              </w:rPr>
              <w:t>✓</w:t>
            </w:r>
            <w:r w:rsidRPr="00BA41C0">
              <w:t xml:space="preserve"> (partial)</w:t>
            </w:r>
          </w:p>
        </w:tc>
        <w:tc>
          <w:tcPr>
            <w:tcW w:w="0" w:type="auto"/>
            <w:vAlign w:val="center"/>
            <w:hideMark/>
          </w:tcPr>
          <w:p w14:paraId="3C57CD2E"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0F673F6C"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06F8C052" w14:textId="77777777" w:rsidR="00BA41C0" w:rsidRPr="00BA41C0" w:rsidRDefault="00BA41C0" w:rsidP="00BA41C0">
            <w:r w:rsidRPr="00BA41C0">
              <w:t>GSP</w:t>
            </w:r>
          </w:p>
        </w:tc>
        <w:tc>
          <w:tcPr>
            <w:tcW w:w="0" w:type="auto"/>
            <w:vAlign w:val="center"/>
            <w:hideMark/>
          </w:tcPr>
          <w:p w14:paraId="0FF6B21B" w14:textId="77777777" w:rsidR="00BA41C0" w:rsidRPr="00BA41C0" w:rsidRDefault="00BA41C0" w:rsidP="00BA41C0">
            <w:r w:rsidRPr="00BA41C0">
              <w:t>Secondary</w:t>
            </w:r>
          </w:p>
        </w:tc>
      </w:tr>
      <w:tr w:rsidR="00BA41C0" w:rsidRPr="00BA41C0" w14:paraId="027B6C51" w14:textId="77777777">
        <w:trPr>
          <w:tblCellSpacing w:w="15" w:type="dxa"/>
        </w:trPr>
        <w:tc>
          <w:tcPr>
            <w:tcW w:w="0" w:type="auto"/>
            <w:vAlign w:val="center"/>
            <w:hideMark/>
          </w:tcPr>
          <w:p w14:paraId="630AB98E" w14:textId="77777777" w:rsidR="00BA41C0" w:rsidRPr="00BA41C0" w:rsidRDefault="00BA41C0" w:rsidP="00BA41C0">
            <w:r w:rsidRPr="00BA41C0">
              <w:t>3: WwTW capacity</w:t>
            </w:r>
          </w:p>
        </w:tc>
        <w:tc>
          <w:tcPr>
            <w:tcW w:w="0" w:type="auto"/>
            <w:vAlign w:val="center"/>
            <w:hideMark/>
          </w:tcPr>
          <w:p w14:paraId="2D7D5FB8"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3DCDD53C"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1C7A2BE7"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15F2ECE0" w14:textId="77777777" w:rsidR="00BA41C0" w:rsidRPr="00BA41C0" w:rsidRDefault="00BA41C0" w:rsidP="00BA41C0">
            <w:r w:rsidRPr="00BA41C0">
              <w:t>—</w:t>
            </w:r>
          </w:p>
        </w:tc>
        <w:tc>
          <w:tcPr>
            <w:tcW w:w="0" w:type="auto"/>
            <w:vAlign w:val="center"/>
            <w:hideMark/>
          </w:tcPr>
          <w:p w14:paraId="23760A72" w14:textId="77777777" w:rsidR="00BA41C0" w:rsidRPr="00BA41C0" w:rsidRDefault="00BA41C0" w:rsidP="00BA41C0">
            <w:r w:rsidRPr="00BA41C0">
              <w:t>Drop</w:t>
            </w:r>
          </w:p>
        </w:tc>
      </w:tr>
      <w:tr w:rsidR="00BA41C0" w:rsidRPr="00BA41C0" w14:paraId="1F186A02" w14:textId="77777777">
        <w:trPr>
          <w:tblCellSpacing w:w="15" w:type="dxa"/>
        </w:trPr>
        <w:tc>
          <w:tcPr>
            <w:tcW w:w="0" w:type="auto"/>
            <w:vAlign w:val="center"/>
            <w:hideMark/>
          </w:tcPr>
          <w:p w14:paraId="53F71C0B" w14:textId="77777777" w:rsidR="00BA41C0" w:rsidRPr="00BA41C0" w:rsidRDefault="00BA41C0" w:rsidP="00BA41C0">
            <w:r w:rsidRPr="00BA41C0">
              <w:t>4: WINEP investment</w:t>
            </w:r>
          </w:p>
        </w:tc>
        <w:tc>
          <w:tcPr>
            <w:tcW w:w="0" w:type="auto"/>
            <w:vAlign w:val="center"/>
            <w:hideMark/>
          </w:tcPr>
          <w:p w14:paraId="49FBA9D0"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56AE7CE8"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7EFAC325"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751D4DBC" w14:textId="77777777" w:rsidR="00BA41C0" w:rsidRPr="00BA41C0" w:rsidRDefault="00BA41C0" w:rsidP="00BA41C0">
            <w:r w:rsidRPr="00BA41C0">
              <w:t>—</w:t>
            </w:r>
          </w:p>
        </w:tc>
        <w:tc>
          <w:tcPr>
            <w:tcW w:w="0" w:type="auto"/>
            <w:vAlign w:val="center"/>
            <w:hideMark/>
          </w:tcPr>
          <w:p w14:paraId="003C29B3" w14:textId="77777777" w:rsidR="00BA41C0" w:rsidRPr="00BA41C0" w:rsidRDefault="00BA41C0" w:rsidP="00BA41C0">
            <w:r w:rsidRPr="00BA41C0">
              <w:t>Drop</w:t>
            </w:r>
          </w:p>
        </w:tc>
      </w:tr>
      <w:tr w:rsidR="00BA41C0" w:rsidRPr="00BA41C0" w14:paraId="375CE374" w14:textId="77777777">
        <w:trPr>
          <w:tblCellSpacing w:w="15" w:type="dxa"/>
        </w:trPr>
        <w:tc>
          <w:tcPr>
            <w:tcW w:w="0" w:type="auto"/>
            <w:vAlign w:val="center"/>
            <w:hideMark/>
          </w:tcPr>
          <w:p w14:paraId="06A78820" w14:textId="77777777" w:rsidR="00BA41C0" w:rsidRPr="00BA41C0" w:rsidRDefault="00BA41C0" w:rsidP="00BA41C0">
            <w:r w:rsidRPr="00BA41C0">
              <w:t>5: FFT multiplier</w:t>
            </w:r>
          </w:p>
        </w:tc>
        <w:tc>
          <w:tcPr>
            <w:tcW w:w="0" w:type="auto"/>
            <w:vAlign w:val="center"/>
            <w:hideMark/>
          </w:tcPr>
          <w:p w14:paraId="641DFABB" w14:textId="77777777" w:rsidR="00BA41C0" w:rsidRPr="00BA41C0" w:rsidRDefault="00BA41C0" w:rsidP="00BA41C0">
            <w:r w:rsidRPr="00BA41C0">
              <w:rPr>
                <w:rFonts w:ascii="Segoe UI Symbol" w:hAnsi="Segoe UI Symbol" w:cs="Segoe UI Symbol"/>
              </w:rPr>
              <w:t>✓</w:t>
            </w:r>
            <w:r w:rsidRPr="00BA41C0">
              <w:t xml:space="preserve"> (partial)</w:t>
            </w:r>
          </w:p>
        </w:tc>
        <w:tc>
          <w:tcPr>
            <w:tcW w:w="0" w:type="auto"/>
            <w:vAlign w:val="center"/>
            <w:hideMark/>
          </w:tcPr>
          <w:p w14:paraId="6D28C03B"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4F6391A4" w14:textId="77777777" w:rsidR="00BA41C0" w:rsidRPr="00BA41C0" w:rsidRDefault="00BA41C0" w:rsidP="00BA41C0">
            <w:r w:rsidRPr="00BA41C0">
              <w:rPr>
                <w:rFonts w:ascii="Segoe UI Symbol" w:hAnsi="Segoe UI Symbol" w:cs="Segoe UI Symbol"/>
              </w:rPr>
              <w:t>✓</w:t>
            </w:r>
          </w:p>
        </w:tc>
        <w:tc>
          <w:tcPr>
            <w:tcW w:w="0" w:type="auto"/>
            <w:vAlign w:val="center"/>
            <w:hideMark/>
          </w:tcPr>
          <w:p w14:paraId="39D7244F" w14:textId="77777777" w:rsidR="00BA41C0" w:rsidRPr="00BA41C0" w:rsidRDefault="00BA41C0" w:rsidP="00BA41C0">
            <w:r w:rsidRPr="00BA41C0">
              <w:t>—</w:t>
            </w:r>
          </w:p>
        </w:tc>
        <w:tc>
          <w:tcPr>
            <w:tcW w:w="0" w:type="auto"/>
            <w:vAlign w:val="center"/>
            <w:hideMark/>
          </w:tcPr>
          <w:p w14:paraId="0D98BB7A" w14:textId="77777777" w:rsidR="00BA41C0" w:rsidRPr="00BA41C0" w:rsidRDefault="00BA41C0" w:rsidP="00BA41C0">
            <w:r w:rsidRPr="00BA41C0">
              <w:t>Weak</w:t>
            </w:r>
          </w:p>
        </w:tc>
      </w:tr>
    </w:tbl>
    <w:p w14:paraId="018EB276" w14:textId="77777777" w:rsidR="00BA41C0" w:rsidRPr="00BA41C0" w:rsidRDefault="00A71C42" w:rsidP="00BA41C0">
      <w:r w:rsidRPr="00A71C42">
        <w:rPr>
          <w:noProof/>
          <w14:ligatures w14:val="standardContextual"/>
        </w:rPr>
        <w:pict w14:anchorId="452708B0">
          <v:rect id="_x0000_i1031" alt="" style="width:451.3pt;height:.05pt;mso-width-percent:0;mso-height-percent:0;mso-width-percent:0;mso-height-percent:0" o:hralign="center" o:hrstd="t" o:hr="t" fillcolor="#a0a0a0" stroked="f"/>
        </w:pict>
      </w:r>
    </w:p>
    <w:p w14:paraId="5A60F9C2"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DIMENSION 3: UNIT OF ANALYSIS</w:t>
      </w:r>
    </w:p>
    <w:p w14:paraId="555A7DB7" w14:textId="77777777" w:rsidR="00BA41C0" w:rsidRPr="00BA41C0" w:rsidRDefault="00BA41C0" w:rsidP="00BA41C0">
      <w:pPr>
        <w:spacing w:before="100" w:beforeAutospacing="1" w:after="100" w:afterAutospacing="1"/>
      </w:pPr>
      <w:r w:rsidRPr="00BA41C0">
        <w:t>The choice of unit of analysis determines what fixed effects absorb, what constitutes "within-unit" variation, and how many observations you have.</w:t>
      </w:r>
    </w:p>
    <w:p w14:paraId="0B95AC8D" w14:textId="77777777" w:rsidR="00BA41C0" w:rsidRPr="00BA41C0" w:rsidRDefault="00A71C42" w:rsidP="00BA41C0">
      <w:r w:rsidRPr="00A71C42">
        <w:rPr>
          <w:noProof/>
          <w14:ligatures w14:val="standardContextual"/>
        </w:rPr>
        <w:pict w14:anchorId="2E6E8618">
          <v:rect id="_x0000_i1030" alt="" style="width:451.3pt;height:.05pt;mso-width-percent:0;mso-height-percent:0;mso-width-percent:0;mso-height-percent:0" o:hralign="center" o:hrstd="t" o:hr="t" fillcolor="#a0a0a0" stroked="f"/>
        </w:pict>
      </w:r>
    </w:p>
    <w:p w14:paraId="08095340"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Unit A: House Transaction (observation = house sale) </w:t>
      </w:r>
      <w:r w:rsidRPr="00BA41C0">
        <w:rPr>
          <w:rFonts w:ascii="Segoe UI Symbol" w:hAnsi="Segoe UI Symbol" w:cs="Segoe UI Symbol"/>
          <w:b/>
          <w:bCs/>
          <w:sz w:val="27"/>
          <w:szCs w:val="27"/>
        </w:rPr>
        <w:t>✓✓</w:t>
      </w:r>
      <w:r w:rsidRPr="00BA41C0">
        <w:rPr>
          <w:b/>
          <w:bCs/>
          <w:sz w:val="27"/>
          <w:szCs w:val="27"/>
        </w:rPr>
        <w:t xml:space="preserve"> RECOMMENDED</w:t>
      </w:r>
    </w:p>
    <w:p w14:paraId="68CB704D" w14:textId="77777777" w:rsidR="00BA41C0" w:rsidRPr="00BA41C0" w:rsidRDefault="00BA41C0" w:rsidP="00BA41C0">
      <w:pPr>
        <w:spacing w:before="100" w:beforeAutospacing="1" w:after="100" w:afterAutospacing="1"/>
      </w:pPr>
      <w:r w:rsidRPr="00BA41C0">
        <w:rPr>
          <w:b/>
          <w:bCs/>
        </w:rPr>
        <w:t>What it is:</w:t>
      </w:r>
      <w:r w:rsidRPr="00BA41C0">
        <w:t xml:space="preserve"> Each row is a house sale, with the CSO j(i) and its characteristics assigned to the house based on nearest-CSO matching or sewershed membership.</w:t>
      </w:r>
    </w:p>
    <w:p w14:paraId="5FA020B3" w14:textId="77777777" w:rsidR="00BA41C0" w:rsidRPr="00BA41C0" w:rsidRDefault="00BA41C0" w:rsidP="00BA41C0">
      <w:pPr>
        <w:spacing w:before="100" w:beforeAutospacing="1" w:after="100" w:afterAutospacing="1"/>
      </w:pPr>
      <w:r w:rsidRPr="00BA41C0">
        <w:rPr>
          <w:b/>
          <w:bCs/>
        </w:rPr>
        <w:t>Fixed effects:</w:t>
      </w:r>
    </w:p>
    <w:p w14:paraId="1D134DFE" w14:textId="77777777" w:rsidR="00BA41C0" w:rsidRPr="00BA41C0" w:rsidRDefault="00BA41C0" w:rsidP="00BA41C0">
      <w:pPr>
        <w:numPr>
          <w:ilvl w:val="0"/>
          <w:numId w:val="12"/>
        </w:numPr>
        <w:spacing w:before="100" w:beforeAutospacing="1" w:after="100" w:afterAutospacing="1"/>
      </w:pPr>
      <w:r w:rsidRPr="00BA41C0">
        <w:t>LSOA fixed effects: absorb all time-invariant neighbourhood characteristics (~1,500 people per LSOA, ~32,000 LSOAs in England)</w:t>
      </w:r>
    </w:p>
    <w:p w14:paraId="08A3D062" w14:textId="77777777" w:rsidR="00BA41C0" w:rsidRPr="00BA41C0" w:rsidRDefault="00BA41C0" w:rsidP="00BA41C0">
      <w:pPr>
        <w:numPr>
          <w:ilvl w:val="0"/>
          <w:numId w:val="12"/>
        </w:numPr>
        <w:spacing w:before="100" w:beforeAutospacing="1" w:after="100" w:afterAutospacing="1"/>
      </w:pPr>
      <w:r w:rsidRPr="00BA41C0">
        <w:t>Year fixed effects: absorb national house price trends</w:t>
      </w:r>
    </w:p>
    <w:p w14:paraId="0F7E018B" w14:textId="77777777" w:rsidR="00BA41C0" w:rsidRPr="00BA41C0" w:rsidRDefault="00BA41C0" w:rsidP="00BA41C0">
      <w:pPr>
        <w:numPr>
          <w:ilvl w:val="0"/>
          <w:numId w:val="12"/>
        </w:numPr>
        <w:spacing w:before="100" w:beforeAutospacing="1" w:after="100" w:afterAutospacing="1"/>
      </w:pPr>
      <w:r w:rsidRPr="00BA41C0">
        <w:t>WwTW catchment × year FE: absorb catchment-level time-varying confounders (e.g., local employment shocks, catchment-wide rainfall)</w:t>
      </w:r>
    </w:p>
    <w:p w14:paraId="700DDEFA" w14:textId="77777777" w:rsidR="00BA41C0" w:rsidRPr="00BA41C0" w:rsidRDefault="00BA41C0" w:rsidP="00BA41C0">
      <w:pPr>
        <w:spacing w:before="100" w:beforeAutospacing="1" w:after="100" w:afterAutospacing="1"/>
      </w:pPr>
      <w:r w:rsidRPr="00BA41C0">
        <w:rPr>
          <w:b/>
          <w:bCs/>
        </w:rPr>
        <w:t>Identifying variation:</w:t>
      </w:r>
      <w:r w:rsidRPr="00BA41C0">
        <w:t xml:space="preserve"> Within LSOA, across years — how do house prices respond to changes in spill intensity of the nearest CSO?</w:t>
      </w:r>
    </w:p>
    <w:p w14:paraId="5F300079" w14:textId="77777777" w:rsidR="00BA41C0" w:rsidRPr="00BA41C0" w:rsidRDefault="00BA41C0" w:rsidP="00BA41C0">
      <w:pPr>
        <w:spacing w:before="100" w:beforeAutospacing="1" w:after="100" w:afterAutospacing="1"/>
      </w:pPr>
      <w:r w:rsidRPr="00BA41C0">
        <w:rPr>
          <w:b/>
          <w:bCs/>
        </w:rPr>
        <w:t>Instrument:</w:t>
      </w:r>
      <w:r w:rsidRPr="00BA41C0">
        <w:t xml:space="preserve"> B_{it} = s_{j(i),slack} × g_{k(j),t} is assigned to house i based on its nearest CSO</w:t>
      </w:r>
    </w:p>
    <w:p w14:paraId="4F8F1220" w14:textId="77777777" w:rsidR="00BA41C0" w:rsidRPr="00BA41C0" w:rsidRDefault="00BA41C0" w:rsidP="00BA41C0">
      <w:pPr>
        <w:spacing w:before="100" w:beforeAutospacing="1" w:after="100" w:afterAutospacing="1"/>
      </w:pPr>
      <w:r w:rsidRPr="00BA41C0">
        <w:rPr>
          <w:b/>
          <w:bCs/>
        </w:rPr>
        <w:t>Sample size:</w:t>
      </w:r>
      <w:r w:rsidRPr="00BA41C0">
        <w:t xml:space="preserve"> ~1.5 million transactions per year in England. Very well powered.</w:t>
      </w:r>
    </w:p>
    <w:p w14:paraId="3EB72C3E" w14:textId="77777777" w:rsidR="00BA41C0" w:rsidRPr="00BA41C0" w:rsidRDefault="00BA41C0" w:rsidP="00BA41C0">
      <w:pPr>
        <w:spacing w:before="100" w:beforeAutospacing="1" w:after="100" w:afterAutospacing="1"/>
      </w:pPr>
      <w:r w:rsidRPr="00BA41C0">
        <w:rPr>
          <w:b/>
          <w:bCs/>
        </w:rPr>
        <w:t>Key concern:</w:t>
      </w:r>
      <w:r w:rsidRPr="00BA41C0">
        <w:t xml:space="preserve"> Assignment of CSO to house via nearest-CSO matching is coarse — two houses on the same street might differ in their actual CSO exposure if they are near a catchment boundary. Measurement error in treatment assignment attenuates estimates toward zero (conservative bias). Address by using distance-weighted spill exposure rather than nearest-CSO only.</w:t>
      </w:r>
    </w:p>
    <w:p w14:paraId="14291F77" w14:textId="77777777" w:rsidR="00BA41C0" w:rsidRPr="00BA41C0" w:rsidRDefault="00A71C42" w:rsidP="00BA41C0">
      <w:r w:rsidRPr="00A71C42">
        <w:rPr>
          <w:noProof/>
          <w14:ligatures w14:val="standardContextual"/>
        </w:rPr>
        <w:pict w14:anchorId="02C67C7A">
          <v:rect id="_x0000_i1029" alt="" style="width:451.3pt;height:.05pt;mso-width-percent:0;mso-height-percent:0;mso-width-percent:0;mso-height-percent:0" o:hralign="center" o:hrstd="t" o:hr="t" fillcolor="#a0a0a0" stroked="f"/>
        </w:pict>
      </w:r>
    </w:p>
    <w:p w14:paraId="08A8E303"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lastRenderedPageBreak/>
        <w:t xml:space="preserve">Unit B: LSOA-Year (observation = LSOA × year) </w:t>
      </w:r>
      <w:r w:rsidRPr="00BA41C0">
        <w:rPr>
          <w:rFonts w:ascii="Segoe UI Symbol" w:hAnsi="Segoe UI Symbol" w:cs="Segoe UI Symbol"/>
          <w:b/>
          <w:bCs/>
          <w:sz w:val="27"/>
          <w:szCs w:val="27"/>
        </w:rPr>
        <w:t>✓</w:t>
      </w:r>
      <w:r w:rsidRPr="00BA41C0">
        <w:rPr>
          <w:b/>
          <w:bCs/>
          <w:sz w:val="27"/>
          <w:szCs w:val="27"/>
        </w:rPr>
        <w:t xml:space="preserve"> VALID SECONDARY</w:t>
      </w:r>
    </w:p>
    <w:p w14:paraId="5219A834" w14:textId="77777777" w:rsidR="00BA41C0" w:rsidRPr="00BA41C0" w:rsidRDefault="00BA41C0" w:rsidP="00BA41C0">
      <w:pPr>
        <w:spacing w:before="100" w:beforeAutospacing="1" w:after="100" w:afterAutospacing="1"/>
      </w:pPr>
      <w:r w:rsidRPr="00BA41C0">
        <w:rPr>
          <w:b/>
          <w:bCs/>
        </w:rPr>
        <w:t>What it is:</w:t>
      </w:r>
      <w:r w:rsidRPr="00BA41C0">
        <w:t xml:space="preserve"> Each row is an LSOA in a given year. Outcome is mean (or median) house price in that LSOA in that year. Treatment is the spill intensity of the CSO(s) serving that LSOA.</w:t>
      </w:r>
    </w:p>
    <w:p w14:paraId="3D56C2FC" w14:textId="77777777" w:rsidR="00BA41C0" w:rsidRPr="00BA41C0" w:rsidRDefault="00BA41C0" w:rsidP="00BA41C0">
      <w:pPr>
        <w:spacing w:before="100" w:beforeAutospacing="1" w:after="100" w:afterAutospacing="1"/>
      </w:pPr>
      <w:r w:rsidRPr="00BA41C0">
        <w:rPr>
          <w:b/>
          <w:bCs/>
        </w:rPr>
        <w:t>Fixed effects:</w:t>
      </w:r>
    </w:p>
    <w:p w14:paraId="44830D32" w14:textId="77777777" w:rsidR="00BA41C0" w:rsidRPr="00BA41C0" w:rsidRDefault="00BA41C0" w:rsidP="00BA41C0">
      <w:pPr>
        <w:numPr>
          <w:ilvl w:val="0"/>
          <w:numId w:val="13"/>
        </w:numPr>
        <w:spacing w:before="100" w:beforeAutospacing="1" w:after="100" w:afterAutospacing="1"/>
      </w:pPr>
      <w:r w:rsidRPr="00BA41C0">
        <w:t>LSOA fixed effects</w:t>
      </w:r>
    </w:p>
    <w:p w14:paraId="729E1439" w14:textId="77777777" w:rsidR="00BA41C0" w:rsidRPr="00BA41C0" w:rsidRDefault="00BA41C0" w:rsidP="00BA41C0">
      <w:pPr>
        <w:numPr>
          <w:ilvl w:val="0"/>
          <w:numId w:val="13"/>
        </w:numPr>
        <w:spacing w:before="100" w:beforeAutospacing="1" w:after="100" w:afterAutospacing="1"/>
      </w:pPr>
      <w:r w:rsidRPr="00BA41C0">
        <w:t>Year fixed effects</w:t>
      </w:r>
    </w:p>
    <w:p w14:paraId="357ABF7A" w14:textId="77777777" w:rsidR="00BA41C0" w:rsidRPr="00BA41C0" w:rsidRDefault="00BA41C0" w:rsidP="00BA41C0">
      <w:pPr>
        <w:spacing w:before="100" w:beforeAutospacing="1" w:after="100" w:afterAutospacing="1"/>
      </w:pPr>
      <w:r w:rsidRPr="00BA41C0">
        <w:rPr>
          <w:b/>
          <w:bCs/>
        </w:rPr>
        <w:t>Identifying variation:</w:t>
      </w:r>
      <w:r w:rsidRPr="00BA41C0">
        <w:t xml:space="preserve"> Within LSOA, across years.</w:t>
      </w:r>
    </w:p>
    <w:p w14:paraId="41106D08" w14:textId="77777777" w:rsidR="00BA41C0" w:rsidRPr="00BA41C0" w:rsidRDefault="00BA41C0" w:rsidP="00BA41C0">
      <w:pPr>
        <w:spacing w:before="100" w:beforeAutospacing="1" w:after="100" w:afterAutospacing="1"/>
      </w:pPr>
      <w:r w:rsidRPr="00BA41C0">
        <w:rPr>
          <w:b/>
          <w:bCs/>
        </w:rPr>
        <w:t>Advantages:</w:t>
      </w:r>
    </w:p>
    <w:p w14:paraId="2E33B136" w14:textId="77777777" w:rsidR="00BA41C0" w:rsidRPr="00BA41C0" w:rsidRDefault="00BA41C0" w:rsidP="00BA41C0">
      <w:pPr>
        <w:numPr>
          <w:ilvl w:val="0"/>
          <w:numId w:val="14"/>
        </w:numPr>
        <w:spacing w:before="100" w:beforeAutospacing="1" w:after="100" w:afterAutospacing="1"/>
      </w:pPr>
      <w:r w:rsidRPr="00BA41C0">
        <w:t>Cleaner assignment — each LSOA has a well-defined "served by" CSO relationship</w:t>
      </w:r>
    </w:p>
    <w:p w14:paraId="10222E46" w14:textId="77777777" w:rsidR="00BA41C0" w:rsidRPr="00BA41C0" w:rsidRDefault="00BA41C0" w:rsidP="00BA41C0">
      <w:pPr>
        <w:numPr>
          <w:ilvl w:val="0"/>
          <w:numId w:val="14"/>
        </w:numPr>
        <w:spacing w:before="100" w:beforeAutospacing="1" w:after="100" w:afterAutospacing="1"/>
      </w:pPr>
      <w:r w:rsidRPr="00BA41C0">
        <w:t>Reduces measurement error from nearest-CSO matching</w:t>
      </w:r>
    </w:p>
    <w:p w14:paraId="0A55FC1D" w14:textId="77777777" w:rsidR="00BA41C0" w:rsidRPr="00BA41C0" w:rsidRDefault="00BA41C0" w:rsidP="00BA41C0">
      <w:pPr>
        <w:numPr>
          <w:ilvl w:val="0"/>
          <w:numId w:val="14"/>
        </w:numPr>
        <w:spacing w:before="100" w:beforeAutospacing="1" w:after="100" w:afterAutospacing="1"/>
      </w:pPr>
      <w:r w:rsidRPr="00BA41C0">
        <w:t>Easier to construct the Bartik instrument at the LSOA level</w:t>
      </w:r>
    </w:p>
    <w:p w14:paraId="1FB59F5B" w14:textId="77777777" w:rsidR="00BA41C0" w:rsidRPr="00BA41C0" w:rsidRDefault="00BA41C0" w:rsidP="00BA41C0">
      <w:pPr>
        <w:spacing w:before="100" w:beforeAutospacing="1" w:after="100" w:afterAutospacing="1"/>
      </w:pPr>
      <w:r w:rsidRPr="00BA41C0">
        <w:rPr>
          <w:b/>
          <w:bCs/>
        </w:rPr>
        <w:t>Disadvantages:</w:t>
      </w:r>
    </w:p>
    <w:p w14:paraId="15AF3017" w14:textId="77777777" w:rsidR="00BA41C0" w:rsidRPr="00BA41C0" w:rsidRDefault="00BA41C0" w:rsidP="00BA41C0">
      <w:pPr>
        <w:numPr>
          <w:ilvl w:val="0"/>
          <w:numId w:val="15"/>
        </w:numPr>
        <w:spacing w:before="100" w:beforeAutospacing="1" w:after="100" w:afterAutospacing="1"/>
      </w:pPr>
      <w:r w:rsidRPr="00BA41C0">
        <w:t>Loses house-level heterogeneity (you can't control for bedrooms, floor area, property type)</w:t>
      </w:r>
    </w:p>
    <w:p w14:paraId="7CD4A783" w14:textId="77777777" w:rsidR="00BA41C0" w:rsidRPr="00BA41C0" w:rsidRDefault="00BA41C0" w:rsidP="00BA41C0">
      <w:pPr>
        <w:numPr>
          <w:ilvl w:val="0"/>
          <w:numId w:val="15"/>
        </w:numPr>
        <w:spacing w:before="100" w:beforeAutospacing="1" w:after="100" w:afterAutospacing="1"/>
      </w:pPr>
      <w:r w:rsidRPr="00BA41C0">
        <w:t>Mean house prices are noisy in LSOAs with few transactions (some rural LSOAs have &lt;5 sales/year)</w:t>
      </w:r>
    </w:p>
    <w:p w14:paraId="052B3F89" w14:textId="77777777" w:rsidR="00BA41C0" w:rsidRPr="00BA41C0" w:rsidRDefault="00BA41C0" w:rsidP="00BA41C0">
      <w:pPr>
        <w:numPr>
          <w:ilvl w:val="0"/>
          <w:numId w:val="15"/>
        </w:numPr>
        <w:spacing w:before="100" w:beforeAutospacing="1" w:after="100" w:afterAutospacing="1"/>
      </w:pPr>
      <w:r w:rsidRPr="00BA41C0">
        <w:t>Standard hedonic controls not available</w:t>
      </w:r>
    </w:p>
    <w:p w14:paraId="6731104E" w14:textId="77777777" w:rsidR="00BA41C0" w:rsidRPr="00BA41C0" w:rsidRDefault="00BA41C0" w:rsidP="00BA41C0">
      <w:pPr>
        <w:spacing w:before="100" w:beforeAutospacing="1" w:after="100" w:afterAutospacing="1"/>
      </w:pPr>
      <w:r w:rsidRPr="00BA41C0">
        <w:rPr>
          <w:b/>
          <w:bCs/>
        </w:rPr>
        <w:t>Best use:</w:t>
      </w:r>
      <w:r w:rsidRPr="00BA41C0">
        <w:t xml:space="preserve"> Cross-check for the house-transaction specification. If LSOA-level and transaction-level results agree, the transaction-level controls aren't driving the result.</w:t>
      </w:r>
    </w:p>
    <w:p w14:paraId="604B809D" w14:textId="77777777" w:rsidR="00BA41C0" w:rsidRPr="00BA41C0" w:rsidRDefault="00A71C42" w:rsidP="00BA41C0">
      <w:r w:rsidRPr="00A71C42">
        <w:rPr>
          <w:noProof/>
          <w14:ligatures w14:val="standardContextual"/>
        </w:rPr>
        <w:pict w14:anchorId="5C013A77">
          <v:rect id="_x0000_i1028" alt="" style="width:451.3pt;height:.05pt;mso-width-percent:0;mso-height-percent:0;mso-width-percent:0;mso-height-percent:0" o:hralign="center" o:hrstd="t" o:hr="t" fillcolor="#a0a0a0" stroked="f"/>
        </w:pict>
      </w:r>
    </w:p>
    <w:p w14:paraId="4B91DFAD"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Unit C: CSO-Year (observation = CSO × year) </w:t>
      </w:r>
      <w:r w:rsidRPr="00BA41C0">
        <w:rPr>
          <w:rFonts w:ascii="Segoe UI Symbol" w:hAnsi="Segoe UI Symbol" w:cs="Segoe UI Symbol"/>
          <w:b/>
          <w:bCs/>
          <w:sz w:val="27"/>
          <w:szCs w:val="27"/>
        </w:rPr>
        <w:t>✓</w:t>
      </w:r>
      <w:r w:rsidRPr="00BA41C0">
        <w:rPr>
          <w:b/>
          <w:bCs/>
          <w:sz w:val="27"/>
          <w:szCs w:val="27"/>
        </w:rPr>
        <w:t xml:space="preserve"> FOR FIRST STAGE</w:t>
      </w:r>
    </w:p>
    <w:p w14:paraId="363EC51E" w14:textId="77777777" w:rsidR="00BA41C0" w:rsidRPr="00BA41C0" w:rsidRDefault="00BA41C0" w:rsidP="00BA41C0">
      <w:pPr>
        <w:spacing w:before="100" w:beforeAutospacing="1" w:after="100" w:afterAutospacing="1"/>
      </w:pPr>
      <w:r w:rsidRPr="00BA41C0">
        <w:rPr>
          <w:b/>
          <w:bCs/>
        </w:rPr>
        <w:t>What it is:</w:t>
      </w:r>
      <w:r w:rsidRPr="00BA41C0">
        <w:t xml:space="preserve"> Each row is a CSO in a given year. Outcome is annual spill hours from EA EDM. This is the natural unit for the </w:t>
      </w:r>
      <w:r w:rsidRPr="00BA41C0">
        <w:rPr>
          <w:b/>
          <w:bCs/>
        </w:rPr>
        <w:t>first-stage</w:t>
      </w:r>
      <w:r w:rsidRPr="00BA41C0">
        <w:t xml:space="preserve"> regression (predicting spill intensity from the Bartik instrument).</w:t>
      </w:r>
    </w:p>
    <w:p w14:paraId="211CDE80" w14:textId="77777777" w:rsidR="00BA41C0" w:rsidRPr="00BA41C0" w:rsidRDefault="00BA41C0" w:rsidP="00BA41C0">
      <w:pPr>
        <w:spacing w:before="100" w:beforeAutospacing="1" w:after="100" w:afterAutospacing="1"/>
      </w:pPr>
      <w:r w:rsidRPr="00BA41C0">
        <w:rPr>
          <w:b/>
          <w:bCs/>
        </w:rPr>
        <w:t>Fixed effects:</w:t>
      </w:r>
    </w:p>
    <w:p w14:paraId="6B909CBB" w14:textId="77777777" w:rsidR="00BA41C0" w:rsidRPr="00BA41C0" w:rsidRDefault="00BA41C0" w:rsidP="00BA41C0">
      <w:pPr>
        <w:numPr>
          <w:ilvl w:val="0"/>
          <w:numId w:val="16"/>
        </w:numPr>
        <w:spacing w:before="100" w:beforeAutospacing="1" w:after="100" w:afterAutospacing="1"/>
      </w:pPr>
      <w:r w:rsidRPr="00BA41C0">
        <w:t>CSO fixed effects: absorb all time-invariant CSO characteristics</w:t>
      </w:r>
    </w:p>
    <w:p w14:paraId="25D98FAC" w14:textId="77777777" w:rsidR="00BA41C0" w:rsidRPr="00BA41C0" w:rsidRDefault="00BA41C0" w:rsidP="00BA41C0">
      <w:pPr>
        <w:numPr>
          <w:ilvl w:val="0"/>
          <w:numId w:val="16"/>
        </w:numPr>
        <w:spacing w:before="100" w:beforeAutospacing="1" w:after="100" w:afterAutospacing="1"/>
      </w:pPr>
      <w:r w:rsidRPr="00BA41C0">
        <w:t>WwTW catchment × year FE: absorb catchment-level time-varying factors</w:t>
      </w:r>
    </w:p>
    <w:p w14:paraId="266975F4" w14:textId="77777777" w:rsidR="00BA41C0" w:rsidRPr="00BA41C0" w:rsidRDefault="00BA41C0" w:rsidP="00BA41C0">
      <w:pPr>
        <w:spacing w:before="100" w:beforeAutospacing="1" w:after="100" w:afterAutospacing="1"/>
      </w:pPr>
      <w:r w:rsidRPr="00BA41C0">
        <w:rPr>
          <w:b/>
          <w:bCs/>
        </w:rPr>
        <w:t>Identifying variation:</w:t>
      </w:r>
      <w:r w:rsidRPr="00BA41C0">
        <w:t xml:space="preserve"> Within CSO, across years — does spill intensity increase when the shift (rainfall, dwelling growth) is high, and does it increase more for high-share CSOs?</w:t>
      </w:r>
    </w:p>
    <w:p w14:paraId="36DEDB85" w14:textId="77777777" w:rsidR="00BA41C0" w:rsidRPr="00BA41C0" w:rsidRDefault="00BA41C0" w:rsidP="00BA41C0">
      <w:pPr>
        <w:spacing w:before="100" w:beforeAutospacing="1" w:after="100" w:afterAutospacing="1"/>
      </w:pPr>
      <w:r w:rsidRPr="00BA41C0">
        <w:rPr>
          <w:b/>
          <w:bCs/>
        </w:rPr>
        <w:t>Why this matters:</w:t>
      </w:r>
      <w:r w:rsidRPr="00BA41C0">
        <w:t xml:space="preserve"> The first-stage F-statistic should be estimated at the CSO-year level — this is where instrument relevance is tested. With ~14,000 CSOs × ~8 years (2016–2024) = ~112,000 observations, you have ample power.</w:t>
      </w:r>
    </w:p>
    <w:p w14:paraId="1E985AE7" w14:textId="77777777" w:rsidR="00BA41C0" w:rsidRPr="00BA41C0" w:rsidRDefault="00A71C42" w:rsidP="00BA41C0">
      <w:r w:rsidRPr="00A71C42">
        <w:rPr>
          <w:noProof/>
          <w14:ligatures w14:val="standardContextual"/>
        </w:rPr>
        <w:lastRenderedPageBreak/>
        <w:pict w14:anchorId="708298B7">
          <v:rect id="_x0000_i1027" alt="" style="width:451.3pt;height:.05pt;mso-width-percent:0;mso-height-percent:0;mso-width-percent:0;mso-height-percent:0" o:hralign="center" o:hrstd="t" o:hr="t" fillcolor="#a0a0a0" stroked="f"/>
        </w:pict>
      </w:r>
    </w:p>
    <w:p w14:paraId="55E424BC" w14:textId="77777777" w:rsidR="00BA41C0" w:rsidRPr="00BA41C0" w:rsidRDefault="00BA41C0" w:rsidP="00BA41C0">
      <w:pPr>
        <w:spacing w:before="100" w:beforeAutospacing="1" w:after="100" w:afterAutospacing="1"/>
        <w:outlineLvl w:val="2"/>
        <w:rPr>
          <w:b/>
          <w:bCs/>
          <w:sz w:val="27"/>
          <w:szCs w:val="27"/>
        </w:rPr>
      </w:pPr>
      <w:r w:rsidRPr="00BA41C0">
        <w:rPr>
          <w:b/>
          <w:bCs/>
          <w:sz w:val="27"/>
          <w:szCs w:val="27"/>
        </w:rPr>
        <w:t xml:space="preserve">Unit D: WwTW Catchment-Year </w:t>
      </w:r>
      <w:r w:rsidRPr="00BA41C0">
        <w:rPr>
          <w:rFonts w:ascii="Segoe UI Symbol" w:hAnsi="Segoe UI Symbol" w:cs="Segoe UI Symbol"/>
          <w:b/>
          <w:bCs/>
          <w:sz w:val="27"/>
          <w:szCs w:val="27"/>
        </w:rPr>
        <w:t>✗</w:t>
      </w:r>
      <w:r w:rsidRPr="00BA41C0">
        <w:rPr>
          <w:b/>
          <w:bCs/>
          <w:sz w:val="27"/>
          <w:szCs w:val="27"/>
        </w:rPr>
        <w:t xml:space="preserve"> TOO COARSE FOR IDENTIFICATION</w:t>
      </w:r>
    </w:p>
    <w:p w14:paraId="2C6231D1" w14:textId="77777777" w:rsidR="00BA41C0" w:rsidRPr="00BA41C0" w:rsidRDefault="00BA41C0" w:rsidP="00BA41C0">
      <w:pPr>
        <w:spacing w:before="100" w:beforeAutospacing="1" w:after="100" w:afterAutospacing="1"/>
      </w:pPr>
      <w:r w:rsidRPr="00BA41C0">
        <w:rPr>
          <w:b/>
          <w:bCs/>
        </w:rPr>
        <w:t>What it is:</w:t>
      </w:r>
      <w:r w:rsidRPr="00BA41C0">
        <w:t xml:space="preserve"> Aggregate to treatment works catchment level.</w:t>
      </w:r>
    </w:p>
    <w:p w14:paraId="4E1DD985" w14:textId="77777777" w:rsidR="00BA41C0" w:rsidRPr="00BA41C0" w:rsidRDefault="00BA41C0" w:rsidP="00BA41C0">
      <w:pPr>
        <w:spacing w:before="100" w:beforeAutospacing="1" w:after="100" w:afterAutospacing="1"/>
      </w:pPr>
      <w:r w:rsidRPr="00BA41C0">
        <w:rPr>
          <w:b/>
          <w:bCs/>
        </w:rPr>
        <w:t>Problem:</w:t>
      </w:r>
      <w:r w:rsidRPr="00BA41C0">
        <w:t xml:space="preserve"> The whole point of the design is to exploit </w:t>
      </w:r>
      <w:r w:rsidRPr="00BA41C0">
        <w:rPr>
          <w:i/>
          <w:iCs/>
        </w:rPr>
        <w:t>within-catchment</w:t>
      </w:r>
      <w:r w:rsidRPr="00BA41C0">
        <w:t xml:space="preserve"> variation in spill intensity driven by </w:t>
      </w:r>
      <w:r w:rsidRPr="00BA41C0">
        <w:rPr>
          <w:i/>
          <w:iCs/>
        </w:rPr>
        <w:t>within-catchment</w:t>
      </w:r>
      <w:r w:rsidRPr="00BA41C0">
        <w:t xml:space="preserve"> variation in hydraulic shares. Aggregating to the catchment level destroys this variation entirely. The catchment fixed effect in the preferred specification achieves the same purpose (absorbing between-catchment confounders) without throwing away within-catchment identifying variation.</w:t>
      </w:r>
    </w:p>
    <w:p w14:paraId="6A2E9ECD" w14:textId="77777777" w:rsidR="00BA41C0" w:rsidRPr="00BA41C0" w:rsidRDefault="00BA41C0" w:rsidP="00BA41C0">
      <w:pPr>
        <w:spacing w:before="100" w:beforeAutospacing="1" w:after="100" w:afterAutospacing="1"/>
      </w:pPr>
      <w:r w:rsidRPr="00BA41C0">
        <w:t>Only useful as a check that between-catchment variation in average spill intensity doesn't predict between-catchment trends in house prices.</w:t>
      </w:r>
    </w:p>
    <w:p w14:paraId="198F165C" w14:textId="77777777" w:rsidR="00BA41C0" w:rsidRPr="00BA41C0" w:rsidRDefault="00A71C42" w:rsidP="00BA41C0">
      <w:r w:rsidRPr="00A71C42">
        <w:rPr>
          <w:noProof/>
          <w14:ligatures w14:val="standardContextual"/>
        </w:rPr>
        <w:pict w14:anchorId="72654942">
          <v:rect id="_x0000_i1026" alt="" style="width:451.3pt;height:.05pt;mso-width-percent:0;mso-height-percent:0;mso-width-percent:0;mso-height-percent:0" o:hralign="center" o:hrstd="t" o:hr="t" fillcolor="#a0a0a0" stroked="f"/>
        </w:pict>
      </w:r>
    </w:p>
    <w:p w14:paraId="215992E0"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THE PREFERRED DESIGN: COMBINING BEST ELEMENTS</w:t>
      </w:r>
    </w:p>
    <w:p w14:paraId="046471D9" w14:textId="77777777" w:rsidR="00BA41C0" w:rsidRPr="00BA41C0" w:rsidRDefault="00BA41C0" w:rsidP="00BA41C0">
      <w:pPr>
        <w:spacing w:before="100" w:beforeAutospacing="1" w:after="100" w:afterAutospacing="1"/>
      </w:pPr>
      <w:r w:rsidRPr="00BA41C0">
        <w:t>Combining the recommended choices:</w:t>
      </w:r>
    </w:p>
    <w:p w14:paraId="1C703679" w14:textId="77777777" w:rsidR="00BA41C0" w:rsidRPr="00BA41C0" w:rsidRDefault="00BA41C0" w:rsidP="00BA41C0">
      <w:pPr>
        <w:spacing w:before="100" w:beforeAutospacing="1" w:after="100" w:afterAutospacing="1"/>
      </w:pPr>
      <w:r w:rsidRPr="00BA41C0">
        <w:rPr>
          <w:b/>
          <w:bCs/>
        </w:rPr>
        <w:t>First stage (CSO-year):</w:t>
      </w:r>
    </w:p>
    <w:p w14:paraId="17E692FB" w14:textId="77777777" w:rsidR="00BA41C0" w:rsidRPr="00BA41C0" w:rsidRDefault="00BA41C0" w:rsidP="00BA41C0">
      <w:pPr>
        <w:spacing w:before="100" w:beforeAutospacing="1" w:after="100" w:afterAutospacing="1"/>
      </w:pPr>
      <w:r w:rsidRPr="00BA41C0">
        <w:rPr>
          <w:b/>
          <w:bCs/>
        </w:rPr>
        <w:t>ln(SpillHours_{jt}) = α_j + α_{k×t} + δ·(s_{j,slack} · g_{k,t}) + φ·s_{j,slack} + ψ·g_{k,t} + controls_j + η_{jt}</w:t>
      </w:r>
    </w:p>
    <w:p w14:paraId="03A1648E" w14:textId="77777777" w:rsidR="00BA41C0" w:rsidRPr="00BA41C0" w:rsidRDefault="00BA41C0" w:rsidP="00BA41C0">
      <w:pPr>
        <w:spacing w:before="100" w:beforeAutospacing="1" w:after="100" w:afterAutospacing="1"/>
      </w:pPr>
      <w:r w:rsidRPr="00BA41C0">
        <w:t>Run with both rainfall (g = Δrainfall, BHJ path) and dwelling growth (g = ΔDwellings, GSP path) separately and jointly.</w:t>
      </w:r>
    </w:p>
    <w:p w14:paraId="619B45FE" w14:textId="77777777" w:rsidR="00BA41C0" w:rsidRPr="00BA41C0" w:rsidRDefault="00BA41C0" w:rsidP="00BA41C0">
      <w:pPr>
        <w:spacing w:before="100" w:beforeAutospacing="1" w:after="100" w:afterAutospacing="1"/>
      </w:pPr>
      <w:r w:rsidRPr="00BA41C0">
        <w:rPr>
          <w:b/>
          <w:bCs/>
        </w:rPr>
        <w:t>Second stage (house transaction):</w:t>
      </w:r>
    </w:p>
    <w:p w14:paraId="1CD91A23" w14:textId="77777777" w:rsidR="00BA41C0" w:rsidRPr="00BA41C0" w:rsidRDefault="00BA41C0" w:rsidP="00BA41C0">
      <w:pPr>
        <w:spacing w:before="100" w:beforeAutospacing="1" w:after="100" w:afterAutospacing="1"/>
      </w:pPr>
      <w:r w:rsidRPr="00BA41C0">
        <w:rPr>
          <w:b/>
          <w:bCs/>
        </w:rPr>
        <w:t>ln(P_{it}) = α_{LSOA} + α_t + β·ln(SpillHours_{j(i),t})̂ + γ·X_{it} + θ·controls_{jt} + ε_{it}</w:t>
      </w:r>
    </w:p>
    <w:p w14:paraId="4FCC63AA" w14:textId="77777777" w:rsidR="00BA41C0" w:rsidRPr="00BA41C0" w:rsidRDefault="00BA41C0" w:rsidP="00BA41C0">
      <w:pPr>
        <w:spacing w:before="100" w:beforeAutospacing="1" w:after="100" w:afterAutospacing="1"/>
      </w:pPr>
      <w:r w:rsidRPr="00BA41C0">
        <w:rPr>
          <w:b/>
          <w:bCs/>
        </w:rPr>
        <w:t>Key diagnostics:</w:t>
      </w:r>
    </w:p>
    <w:p w14:paraId="6F185E60" w14:textId="77777777" w:rsidR="00BA41C0" w:rsidRPr="00BA41C0" w:rsidRDefault="00BA41C0" w:rsidP="00BA41C0">
      <w:pPr>
        <w:numPr>
          <w:ilvl w:val="0"/>
          <w:numId w:val="17"/>
        </w:numPr>
        <w:spacing w:before="100" w:beforeAutospacing="1" w:after="100" w:afterAutospacing="1"/>
      </w:pPr>
      <w:r w:rsidRPr="00BA41C0">
        <w:t>First-stage F-stat on instrument (at CSO-year level, BHJ standard errors)</w:t>
      </w:r>
    </w:p>
    <w:p w14:paraId="14E97F1D" w14:textId="77777777" w:rsidR="00BA41C0" w:rsidRPr="00BA41C0" w:rsidRDefault="00BA41C0" w:rsidP="00BA41C0">
      <w:pPr>
        <w:numPr>
          <w:ilvl w:val="0"/>
          <w:numId w:val="17"/>
        </w:numPr>
        <w:spacing w:before="100" w:beforeAutospacing="1" w:after="100" w:afterAutospacing="1"/>
      </w:pPr>
      <w:r w:rsidRPr="00BA41C0">
        <w:t xml:space="preserve">Balance test: do s_{j,slack} predict pre-2016 LSOA house price </w:t>
      </w:r>
      <w:r w:rsidRPr="00BA41C0">
        <w:rPr>
          <w:i/>
          <w:iCs/>
        </w:rPr>
        <w:t>trends</w:t>
      </w:r>
      <w:r w:rsidRPr="00BA41C0">
        <w:t>? (Should be no)</w:t>
      </w:r>
    </w:p>
    <w:p w14:paraId="5CBE4723" w14:textId="77777777" w:rsidR="00BA41C0" w:rsidRPr="00BA41C0" w:rsidRDefault="00BA41C0" w:rsidP="00BA41C0">
      <w:pPr>
        <w:numPr>
          <w:ilvl w:val="0"/>
          <w:numId w:val="17"/>
        </w:numPr>
        <w:spacing w:before="100" w:beforeAutospacing="1" w:after="100" w:afterAutospacing="1"/>
      </w:pPr>
      <w:r w:rsidRPr="00BA41C0">
        <w:t>Rainfall-only vs. dwelling-only vs. joint estimates — do they agree? (Should yes)</w:t>
      </w:r>
    </w:p>
    <w:p w14:paraId="0ABBEE1F" w14:textId="77777777" w:rsidR="00BA41C0" w:rsidRPr="00BA41C0" w:rsidRDefault="00BA41C0" w:rsidP="00BA41C0">
      <w:pPr>
        <w:numPr>
          <w:ilvl w:val="0"/>
          <w:numId w:val="17"/>
        </w:numPr>
        <w:spacing w:before="100" w:beforeAutospacing="1" w:after="100" w:afterAutospacing="1"/>
      </w:pPr>
      <w:r w:rsidRPr="00BA41C0">
        <w:t>Rotemberg weights: which CSOs drive the estimate? Are they special in any way?</w:t>
      </w:r>
    </w:p>
    <w:p w14:paraId="66AADE05" w14:textId="77777777" w:rsidR="00BA41C0" w:rsidRPr="00BA41C0" w:rsidRDefault="00BA41C0" w:rsidP="00BA41C0">
      <w:pPr>
        <w:numPr>
          <w:ilvl w:val="0"/>
          <w:numId w:val="17"/>
        </w:numPr>
        <w:spacing w:before="100" w:beforeAutospacing="1" w:after="100" w:afterAutospacing="1"/>
      </w:pPr>
      <w:r w:rsidRPr="00BA41C0">
        <w:t>Falsification: use instrument to predict flood-related rather than CSO-related house price changes (should not predict)</w:t>
      </w:r>
    </w:p>
    <w:p w14:paraId="44145FF3" w14:textId="77777777" w:rsidR="00BA41C0" w:rsidRPr="00BA41C0" w:rsidRDefault="00A71C42" w:rsidP="00BA41C0">
      <w:r w:rsidRPr="00A71C42">
        <w:rPr>
          <w:noProof/>
          <w14:ligatures w14:val="standardContextual"/>
        </w:rPr>
        <w:pict w14:anchorId="5763896E">
          <v:rect id="_x0000_i1025" alt="" style="width:451.3pt;height:.05pt;mso-width-percent:0;mso-height-percent:0;mso-width-percent:0;mso-height-percent:0" o:hralign="center" o:hrstd="t" o:hr="t" fillcolor="#a0a0a0" stroked="f"/>
        </w:pict>
      </w:r>
    </w:p>
    <w:p w14:paraId="5CB1C9F6" w14:textId="77777777" w:rsidR="00BA41C0" w:rsidRPr="00BA41C0" w:rsidRDefault="00BA41C0" w:rsidP="00BA41C0">
      <w:pPr>
        <w:spacing w:before="100" w:beforeAutospacing="1" w:after="100" w:afterAutospacing="1"/>
        <w:outlineLvl w:val="1"/>
        <w:rPr>
          <w:b/>
          <w:bCs/>
          <w:sz w:val="36"/>
          <w:szCs w:val="36"/>
        </w:rPr>
      </w:pPr>
      <w:r w:rsidRPr="00BA41C0">
        <w:rPr>
          <w:b/>
          <w:bCs/>
          <w:sz w:val="36"/>
          <w:szCs w:val="36"/>
        </w:rPr>
        <w:t>THE CORE TRADE-OFF IN THE DESIGN SPACE</w:t>
      </w:r>
    </w:p>
    <w:p w14:paraId="2B9DD6A8" w14:textId="77777777" w:rsidR="00BA41C0" w:rsidRPr="00BA41C0" w:rsidRDefault="00BA41C0" w:rsidP="00BA41C0">
      <w:pPr>
        <w:spacing w:before="100" w:beforeAutospacing="1" w:after="100" w:afterAutospacing="1"/>
      </w:pPr>
      <w:r w:rsidRPr="00BA41C0">
        <w:lastRenderedPageBreak/>
        <w:t>The fundamental tension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3220"/>
        <w:gridCol w:w="3321"/>
      </w:tblGrid>
      <w:tr w:rsidR="00BA41C0" w:rsidRPr="00BA41C0" w14:paraId="6FBD4238" w14:textId="77777777">
        <w:trPr>
          <w:tblHeader/>
          <w:tblCellSpacing w:w="15" w:type="dxa"/>
        </w:trPr>
        <w:tc>
          <w:tcPr>
            <w:tcW w:w="0" w:type="auto"/>
            <w:vAlign w:val="center"/>
            <w:hideMark/>
          </w:tcPr>
          <w:p w14:paraId="6140C146" w14:textId="77777777" w:rsidR="00BA41C0" w:rsidRPr="00BA41C0" w:rsidRDefault="00BA41C0" w:rsidP="00BA41C0"/>
        </w:tc>
        <w:tc>
          <w:tcPr>
            <w:tcW w:w="0" w:type="auto"/>
            <w:vAlign w:val="center"/>
            <w:hideMark/>
          </w:tcPr>
          <w:p w14:paraId="0C4376E5" w14:textId="77777777" w:rsidR="00BA41C0" w:rsidRPr="00BA41C0" w:rsidRDefault="00BA41C0" w:rsidP="00BA41C0">
            <w:pPr>
              <w:jc w:val="center"/>
              <w:rPr>
                <w:b/>
                <w:bCs/>
              </w:rPr>
            </w:pPr>
            <w:r w:rsidRPr="00BA41C0">
              <w:rPr>
                <w:b/>
                <w:bCs/>
              </w:rPr>
              <w:t>Rainfall shift (BHJ)</w:t>
            </w:r>
          </w:p>
        </w:tc>
        <w:tc>
          <w:tcPr>
            <w:tcW w:w="0" w:type="auto"/>
            <w:vAlign w:val="center"/>
            <w:hideMark/>
          </w:tcPr>
          <w:p w14:paraId="1334E837" w14:textId="77777777" w:rsidR="00BA41C0" w:rsidRPr="00BA41C0" w:rsidRDefault="00BA41C0" w:rsidP="00BA41C0">
            <w:pPr>
              <w:jc w:val="center"/>
              <w:rPr>
                <w:b/>
                <w:bCs/>
              </w:rPr>
            </w:pPr>
            <w:r w:rsidRPr="00BA41C0">
              <w:rPr>
                <w:b/>
                <w:bCs/>
              </w:rPr>
              <w:t>Dwelling growth shift (GSP)</w:t>
            </w:r>
          </w:p>
        </w:tc>
      </w:tr>
      <w:tr w:rsidR="00BA41C0" w:rsidRPr="00BA41C0" w14:paraId="52D72248" w14:textId="77777777">
        <w:trPr>
          <w:tblCellSpacing w:w="15" w:type="dxa"/>
        </w:trPr>
        <w:tc>
          <w:tcPr>
            <w:tcW w:w="0" w:type="auto"/>
            <w:vAlign w:val="center"/>
            <w:hideMark/>
          </w:tcPr>
          <w:p w14:paraId="4AA2600B" w14:textId="77777777" w:rsidR="00BA41C0" w:rsidRPr="00BA41C0" w:rsidRDefault="00BA41C0" w:rsidP="00BA41C0">
            <w:r w:rsidRPr="00BA41C0">
              <w:rPr>
                <w:b/>
                <w:bCs/>
              </w:rPr>
              <w:t>Shock exogeneity</w:t>
            </w:r>
          </w:p>
        </w:tc>
        <w:tc>
          <w:tcPr>
            <w:tcW w:w="0" w:type="auto"/>
            <w:vAlign w:val="center"/>
            <w:hideMark/>
          </w:tcPr>
          <w:p w14:paraId="524B7005" w14:textId="77777777" w:rsidR="00BA41C0" w:rsidRPr="00BA41C0" w:rsidRDefault="00BA41C0" w:rsidP="00BA41C0">
            <w:r w:rsidRPr="00BA41C0">
              <w:rPr>
                <w:rFonts w:ascii="Segoe UI Symbol" w:hAnsi="Segoe UI Symbol" w:cs="Segoe UI Symbol"/>
              </w:rPr>
              <w:t>✓✓</w:t>
            </w:r>
            <w:r w:rsidRPr="00BA41C0">
              <w:t xml:space="preserve"> Genuinely random</w:t>
            </w:r>
          </w:p>
        </w:tc>
        <w:tc>
          <w:tcPr>
            <w:tcW w:w="0" w:type="auto"/>
            <w:vAlign w:val="center"/>
            <w:hideMark/>
          </w:tcPr>
          <w:p w14:paraId="33154A7B" w14:textId="77777777" w:rsidR="00BA41C0" w:rsidRPr="00BA41C0" w:rsidRDefault="00BA41C0" w:rsidP="00BA41C0">
            <w:r w:rsidRPr="00BA41C0">
              <w:rPr>
                <w:rFonts w:ascii="Segoe UI Symbol" w:hAnsi="Segoe UI Symbol" w:cs="Segoe UI Symbol"/>
              </w:rPr>
              <w:t>✓</w:t>
            </w:r>
            <w:r w:rsidRPr="00BA41C0">
              <w:t xml:space="preserve"> Partially exogenous</w:t>
            </w:r>
          </w:p>
        </w:tc>
      </w:tr>
      <w:tr w:rsidR="00BA41C0" w:rsidRPr="00BA41C0" w14:paraId="1EBD6582" w14:textId="77777777">
        <w:trPr>
          <w:tblCellSpacing w:w="15" w:type="dxa"/>
        </w:trPr>
        <w:tc>
          <w:tcPr>
            <w:tcW w:w="0" w:type="auto"/>
            <w:vAlign w:val="center"/>
            <w:hideMark/>
          </w:tcPr>
          <w:p w14:paraId="224AF694" w14:textId="77777777" w:rsidR="00BA41C0" w:rsidRPr="00BA41C0" w:rsidRDefault="00BA41C0" w:rsidP="00BA41C0">
            <w:r w:rsidRPr="00BA41C0">
              <w:rPr>
                <w:b/>
                <w:bCs/>
              </w:rPr>
              <w:t>Share exogeneity</w:t>
            </w:r>
          </w:p>
        </w:tc>
        <w:tc>
          <w:tcPr>
            <w:tcW w:w="0" w:type="auto"/>
            <w:vAlign w:val="center"/>
            <w:hideMark/>
          </w:tcPr>
          <w:p w14:paraId="30E25E1D" w14:textId="77777777" w:rsidR="00BA41C0" w:rsidRPr="00BA41C0" w:rsidRDefault="00BA41C0" w:rsidP="00BA41C0">
            <w:r w:rsidRPr="00BA41C0">
              <w:t>Not needed (BHJ)</w:t>
            </w:r>
          </w:p>
        </w:tc>
        <w:tc>
          <w:tcPr>
            <w:tcW w:w="0" w:type="auto"/>
            <w:vAlign w:val="center"/>
            <w:hideMark/>
          </w:tcPr>
          <w:p w14:paraId="774149E9" w14:textId="77777777" w:rsidR="00BA41C0" w:rsidRPr="00BA41C0" w:rsidRDefault="00BA41C0" w:rsidP="00BA41C0">
            <w:r w:rsidRPr="00BA41C0">
              <w:t xml:space="preserve">Required; slack share </w:t>
            </w:r>
            <w:r w:rsidRPr="00BA41C0">
              <w:rPr>
                <w:rFonts w:ascii="Segoe UI Symbol" w:hAnsi="Segoe UI Symbol" w:cs="Segoe UI Symbol"/>
              </w:rPr>
              <w:t>✓✓</w:t>
            </w:r>
          </w:p>
        </w:tc>
      </w:tr>
      <w:tr w:rsidR="00BA41C0" w:rsidRPr="00BA41C0" w14:paraId="21352524" w14:textId="77777777">
        <w:trPr>
          <w:tblCellSpacing w:w="15" w:type="dxa"/>
        </w:trPr>
        <w:tc>
          <w:tcPr>
            <w:tcW w:w="0" w:type="auto"/>
            <w:vAlign w:val="center"/>
            <w:hideMark/>
          </w:tcPr>
          <w:p w14:paraId="62EBFB6D" w14:textId="77777777" w:rsidR="00BA41C0" w:rsidRPr="00BA41C0" w:rsidRDefault="00BA41C0" w:rsidP="00BA41C0">
            <w:r w:rsidRPr="00BA41C0">
              <w:rPr>
                <w:b/>
                <w:bCs/>
              </w:rPr>
              <w:t>Time variation</w:t>
            </w:r>
          </w:p>
        </w:tc>
        <w:tc>
          <w:tcPr>
            <w:tcW w:w="0" w:type="auto"/>
            <w:vAlign w:val="center"/>
            <w:hideMark/>
          </w:tcPr>
          <w:p w14:paraId="12195E37" w14:textId="77777777" w:rsidR="00BA41C0" w:rsidRPr="00BA41C0" w:rsidRDefault="00BA41C0" w:rsidP="00BA41C0">
            <w:r w:rsidRPr="00BA41C0">
              <w:rPr>
                <w:rFonts w:ascii="Segoe UI Symbol" w:hAnsi="Segoe UI Symbol" w:cs="Segoe UI Symbol"/>
              </w:rPr>
              <w:t>✓✓</w:t>
            </w:r>
            <w:r w:rsidRPr="00BA41C0">
              <w:t xml:space="preserve"> Annual, substantial</w:t>
            </w:r>
          </w:p>
        </w:tc>
        <w:tc>
          <w:tcPr>
            <w:tcW w:w="0" w:type="auto"/>
            <w:vAlign w:val="center"/>
            <w:hideMark/>
          </w:tcPr>
          <w:p w14:paraId="724020BF" w14:textId="77777777" w:rsidR="00BA41C0" w:rsidRPr="00BA41C0" w:rsidRDefault="00BA41C0" w:rsidP="00BA41C0">
            <w:r w:rsidRPr="00BA41C0">
              <w:rPr>
                <w:rFonts w:ascii="Segoe UI Symbol" w:hAnsi="Segoe UI Symbol" w:cs="Segoe UI Symbol"/>
              </w:rPr>
              <w:t>✓</w:t>
            </w:r>
            <w:r w:rsidRPr="00BA41C0">
              <w:t xml:space="preserve"> Annual, but serially correlated</w:t>
            </w:r>
          </w:p>
        </w:tc>
      </w:tr>
      <w:tr w:rsidR="00BA41C0" w:rsidRPr="00BA41C0" w14:paraId="6BFA00B8" w14:textId="77777777">
        <w:trPr>
          <w:tblCellSpacing w:w="15" w:type="dxa"/>
        </w:trPr>
        <w:tc>
          <w:tcPr>
            <w:tcW w:w="0" w:type="auto"/>
            <w:vAlign w:val="center"/>
            <w:hideMark/>
          </w:tcPr>
          <w:p w14:paraId="0EDEA32F" w14:textId="77777777" w:rsidR="00BA41C0" w:rsidRPr="00BA41C0" w:rsidRDefault="00BA41C0" w:rsidP="00BA41C0">
            <w:r w:rsidRPr="00BA41C0">
              <w:rPr>
                <w:b/>
                <w:bCs/>
              </w:rPr>
              <w:t>Mechanism</w:t>
            </w:r>
          </w:p>
        </w:tc>
        <w:tc>
          <w:tcPr>
            <w:tcW w:w="0" w:type="auto"/>
            <w:vAlign w:val="center"/>
            <w:hideMark/>
          </w:tcPr>
          <w:p w14:paraId="0E26F208" w14:textId="77777777" w:rsidR="00BA41C0" w:rsidRPr="00BA41C0" w:rsidRDefault="00BA41C0" w:rsidP="00BA41C0">
            <w:r w:rsidRPr="00BA41C0">
              <w:t>Storm flow → spill</w:t>
            </w:r>
          </w:p>
        </w:tc>
        <w:tc>
          <w:tcPr>
            <w:tcW w:w="0" w:type="auto"/>
            <w:vAlign w:val="center"/>
            <w:hideMark/>
          </w:tcPr>
          <w:p w14:paraId="071FD9FA" w14:textId="77777777" w:rsidR="00BA41C0" w:rsidRPr="00BA41C0" w:rsidRDefault="00BA41C0" w:rsidP="00BA41C0">
            <w:r w:rsidRPr="00BA41C0">
              <w:t>Baseline flow → spill</w:t>
            </w:r>
          </w:p>
        </w:tc>
      </w:tr>
      <w:tr w:rsidR="00BA41C0" w:rsidRPr="00BA41C0" w14:paraId="78DE9584" w14:textId="77777777">
        <w:trPr>
          <w:tblCellSpacing w:w="15" w:type="dxa"/>
        </w:trPr>
        <w:tc>
          <w:tcPr>
            <w:tcW w:w="0" w:type="auto"/>
            <w:vAlign w:val="center"/>
            <w:hideMark/>
          </w:tcPr>
          <w:p w14:paraId="70FA75D2" w14:textId="77777777" w:rsidR="00BA41C0" w:rsidRPr="00BA41C0" w:rsidRDefault="00BA41C0" w:rsidP="00BA41C0">
            <w:r w:rsidRPr="00BA41C0">
              <w:rPr>
                <w:b/>
                <w:bCs/>
              </w:rPr>
              <w:t>Main control needed</w:t>
            </w:r>
          </w:p>
        </w:tc>
        <w:tc>
          <w:tcPr>
            <w:tcW w:w="0" w:type="auto"/>
            <w:vAlign w:val="center"/>
            <w:hideMark/>
          </w:tcPr>
          <w:p w14:paraId="5386F78B" w14:textId="77777777" w:rsidR="00BA41C0" w:rsidRPr="00BA41C0" w:rsidRDefault="00BA41C0" w:rsidP="00BA41C0">
            <w:r w:rsidRPr="00BA41C0">
              <w:t>Long-run mean rainfall at LSOA</w:t>
            </w:r>
          </w:p>
        </w:tc>
        <w:tc>
          <w:tcPr>
            <w:tcW w:w="0" w:type="auto"/>
            <w:vAlign w:val="center"/>
            <w:hideMark/>
          </w:tcPr>
          <w:p w14:paraId="7BD36BE1" w14:textId="77777777" w:rsidR="00BA41C0" w:rsidRPr="00BA41C0" w:rsidRDefault="00BA41C0" w:rsidP="00BA41C0">
            <w:r w:rsidRPr="00BA41C0">
              <w:t>ΔDwellings at LSOA level</w:t>
            </w:r>
          </w:p>
        </w:tc>
      </w:tr>
      <w:tr w:rsidR="00BA41C0" w:rsidRPr="00BA41C0" w14:paraId="3BBEEE55" w14:textId="77777777">
        <w:trPr>
          <w:tblCellSpacing w:w="15" w:type="dxa"/>
        </w:trPr>
        <w:tc>
          <w:tcPr>
            <w:tcW w:w="0" w:type="auto"/>
            <w:vAlign w:val="center"/>
            <w:hideMark/>
          </w:tcPr>
          <w:p w14:paraId="0E1ACFAF" w14:textId="77777777" w:rsidR="00BA41C0" w:rsidRPr="00BA41C0" w:rsidRDefault="00BA41C0" w:rsidP="00BA41C0">
            <w:r w:rsidRPr="00BA41C0">
              <w:rPr>
                <w:b/>
                <w:bCs/>
              </w:rPr>
              <w:t>Standard errors</w:t>
            </w:r>
          </w:p>
        </w:tc>
        <w:tc>
          <w:tcPr>
            <w:tcW w:w="0" w:type="auto"/>
            <w:vAlign w:val="center"/>
            <w:hideMark/>
          </w:tcPr>
          <w:p w14:paraId="359E2140" w14:textId="77777777" w:rsidR="00BA41C0" w:rsidRPr="00BA41C0" w:rsidRDefault="00BA41C0" w:rsidP="00BA41C0">
            <w:r w:rsidRPr="00BA41C0">
              <w:t>Shock-level (catchment-year)</w:t>
            </w:r>
          </w:p>
        </w:tc>
        <w:tc>
          <w:tcPr>
            <w:tcW w:w="0" w:type="auto"/>
            <w:vAlign w:val="center"/>
            <w:hideMark/>
          </w:tcPr>
          <w:p w14:paraId="0E6E6254" w14:textId="77777777" w:rsidR="00BA41C0" w:rsidRPr="00BA41C0" w:rsidRDefault="00BA41C0" w:rsidP="00BA41C0">
            <w:r w:rsidRPr="00BA41C0">
              <w:t>Unit-level (LSOA or CSO)</w:t>
            </w:r>
          </w:p>
        </w:tc>
      </w:tr>
      <w:tr w:rsidR="00BA41C0" w:rsidRPr="00BA41C0" w14:paraId="165BBBFD" w14:textId="77777777">
        <w:trPr>
          <w:tblCellSpacing w:w="15" w:type="dxa"/>
        </w:trPr>
        <w:tc>
          <w:tcPr>
            <w:tcW w:w="0" w:type="auto"/>
            <w:vAlign w:val="center"/>
            <w:hideMark/>
          </w:tcPr>
          <w:p w14:paraId="26CA071A" w14:textId="77777777" w:rsidR="00BA41C0" w:rsidRPr="00BA41C0" w:rsidRDefault="00BA41C0" w:rsidP="00BA41C0">
            <w:r w:rsidRPr="00BA41C0">
              <w:rPr>
                <w:b/>
                <w:bCs/>
              </w:rPr>
              <w:t>Ideal for</w:t>
            </w:r>
          </w:p>
        </w:tc>
        <w:tc>
          <w:tcPr>
            <w:tcW w:w="0" w:type="auto"/>
            <w:vAlign w:val="center"/>
            <w:hideMark/>
          </w:tcPr>
          <w:p w14:paraId="2F7F2A37" w14:textId="77777777" w:rsidR="00BA41C0" w:rsidRPr="00BA41C0" w:rsidRDefault="00BA41C0" w:rsidP="00BA41C0">
            <w:r w:rsidRPr="00BA41C0">
              <w:t>Testing transient spill effects</w:t>
            </w:r>
          </w:p>
        </w:tc>
        <w:tc>
          <w:tcPr>
            <w:tcW w:w="0" w:type="auto"/>
            <w:vAlign w:val="center"/>
            <w:hideMark/>
          </w:tcPr>
          <w:p w14:paraId="3C835B8B" w14:textId="77777777" w:rsidR="00BA41C0" w:rsidRPr="00BA41C0" w:rsidRDefault="00BA41C0" w:rsidP="00BA41C0">
            <w:r w:rsidRPr="00BA41C0">
              <w:t>Testing structural capacity effects</w:t>
            </w:r>
          </w:p>
        </w:tc>
      </w:tr>
    </w:tbl>
    <w:p w14:paraId="5847A03E" w14:textId="77777777" w:rsidR="00BA41C0" w:rsidRPr="00BA41C0" w:rsidRDefault="00BA41C0" w:rsidP="00BA41C0">
      <w:pPr>
        <w:spacing w:before="100" w:beforeAutospacing="1" w:after="100" w:afterAutospacing="1"/>
      </w:pPr>
      <w:r w:rsidRPr="00BA41C0">
        <w:rPr>
          <w:b/>
          <w:bCs/>
        </w:rPr>
        <w:t>The most credible paper uses both.</w:t>
      </w:r>
      <w:r w:rsidRPr="00BA41C0">
        <w:t xml:space="preserve"> The rainfall shift identifies the effect of storm-driven spill events (visible, odorous, acute disamenity). The dwelling growth shift identifies the effect of gradually increasing baseline spill frequency as the system becomes more loaded. If both give the same β, you have strong triangulation.</w:t>
      </w:r>
    </w:p>
    <w:p w14:paraId="123B8B72" w14:textId="77777777" w:rsidR="00AA333A" w:rsidRDefault="00AA333A" w:rsidP="00FC4A57">
      <w:pPr>
        <w:rPr>
          <w:b/>
          <w:bCs/>
        </w:rPr>
      </w:pPr>
    </w:p>
    <w:p w14:paraId="1A1A1AD7" w14:textId="74B9AD55" w:rsidR="001538CF" w:rsidRDefault="001538CF" w:rsidP="00FC4A57">
      <w:pPr>
        <w:rPr>
          <w:b/>
          <w:bCs/>
        </w:rPr>
      </w:pPr>
      <w:r w:rsidRPr="001538CF">
        <w:rPr>
          <w:b/>
          <w:bCs/>
        </w:rPr>
        <w:t>Great Britain wastewater catchment dataset</w:t>
      </w:r>
      <w:r w:rsidRPr="001538CF">
        <w:rPr>
          <w:b/>
          <w:bCs/>
        </w:rPr>
        <w:t xml:space="preserve"> </w:t>
      </w:r>
    </w:p>
    <w:p w14:paraId="2E24417C" w14:textId="77777777" w:rsidR="00853976" w:rsidRDefault="00853976" w:rsidP="00FC4A57">
      <w:pPr>
        <w:rPr>
          <w:b/>
          <w:bCs/>
        </w:rPr>
      </w:pPr>
    </w:p>
    <w:p w14:paraId="76F48B17" w14:textId="77777777" w:rsidR="00853976" w:rsidRPr="00853976" w:rsidRDefault="00853976" w:rsidP="00853976">
      <w:r w:rsidRPr="00853976">
        <w:t>Wastewater catchment areas in Great Britain</w:t>
      </w:r>
    </w:p>
    <w:p w14:paraId="1E88EEB6" w14:textId="77777777" w:rsidR="00853976" w:rsidRPr="00853976" w:rsidRDefault="00853976" w:rsidP="00853976">
      <w:r w:rsidRPr="00853976">
        <w:t>Till Hoffmann1,1, Sarah Bunney1,1, Barbara Kasprzyk-Hordern2,2, and Andrew Singer3,3</w:t>
      </w:r>
    </w:p>
    <w:p w14:paraId="063A919D" w14:textId="77777777" w:rsidR="00853976" w:rsidRPr="00853976" w:rsidRDefault="00853976" w:rsidP="00853976">
      <w:r w:rsidRPr="00853976">
        <w:t>1Imperial College London</w:t>
      </w:r>
    </w:p>
    <w:p w14:paraId="0FF0F12E" w14:textId="77777777" w:rsidR="00853976" w:rsidRPr="00853976" w:rsidRDefault="00853976" w:rsidP="00853976">
      <w:r w:rsidRPr="00853976">
        <w:t>2University of Bath</w:t>
      </w:r>
    </w:p>
    <w:p w14:paraId="29612D95" w14:textId="77777777" w:rsidR="00853976" w:rsidRPr="00853976" w:rsidRDefault="00853976" w:rsidP="00853976">
      <w:r w:rsidRPr="00853976">
        <w:t>3UK Centre for Ecology &amp; Hydrology</w:t>
      </w:r>
    </w:p>
    <w:p w14:paraId="5C97DCF6" w14:textId="77777777" w:rsidR="00853976" w:rsidRDefault="00853976" w:rsidP="00853976"/>
    <w:p w14:paraId="101E65A1" w14:textId="6AC682E1" w:rsidR="00853976" w:rsidRPr="00853976" w:rsidRDefault="00853976" w:rsidP="00853976">
      <w:r w:rsidRPr="00853976">
        <w:t>May 30, 2025</w:t>
      </w:r>
    </w:p>
    <w:p w14:paraId="792D8350" w14:textId="77777777" w:rsidR="00853976" w:rsidRPr="00853976" w:rsidRDefault="00853976" w:rsidP="00853976">
      <w:pPr>
        <w:rPr>
          <w:b/>
          <w:bCs/>
        </w:rPr>
      </w:pPr>
      <w:r w:rsidRPr="00853976">
        <w:rPr>
          <w:b/>
          <w:bCs/>
        </w:rPr>
        <w:t>Abstract</w:t>
      </w:r>
    </w:p>
    <w:p w14:paraId="22F83437" w14:textId="518E7E95" w:rsidR="00853976" w:rsidRPr="00853976" w:rsidRDefault="00853976" w:rsidP="00853976">
      <w:r w:rsidRPr="00853976">
        <w:t>Wastewater catchment area data are essential for wastewater treatment capacity planning and have recently become critical for</w:t>
      </w:r>
      <w:r>
        <w:t xml:space="preserve"> </w:t>
      </w:r>
      <w:r w:rsidRPr="00853976">
        <w:t>operationalising wastewater-based epidemiology (WBE) for COVID-19. Owing to the privatised nature of the water industry</w:t>
      </w:r>
    </w:p>
    <w:p w14:paraId="1890AC9F" w14:textId="01EDDEF4" w:rsidR="00853976" w:rsidRPr="00853976" w:rsidRDefault="00853976" w:rsidP="00853976">
      <w:r w:rsidRPr="00853976">
        <w:t>in the United Kingdom, the required catchment area datasets are not readily available to researchers. Here, we present</w:t>
      </w:r>
      <w:r>
        <w:t xml:space="preserve"> </w:t>
      </w:r>
      <w:r w:rsidRPr="00853976">
        <w:t>a consolidated dataset of 8,185 catchment areas from eleven sewerage service providers in Great Britain, covering 99% of the</w:t>
      </w:r>
      <w:r>
        <w:t xml:space="preserve"> </w:t>
      </w:r>
      <w:r w:rsidRPr="00853976">
        <w:t>population of England and Wales. We develop a geospatial method for estimating the population resident within each catchment</w:t>
      </w:r>
      <w:r>
        <w:t xml:space="preserve"> </w:t>
      </w:r>
      <w:r w:rsidRPr="00853976">
        <w:t>from small area population estimates generated by the Office for National Statistics. The method is more widely applicable</w:t>
      </w:r>
      <w:r>
        <w:t xml:space="preserve"> </w:t>
      </w:r>
      <w:r w:rsidRPr="00853976">
        <w:t>to matching electronic health records to wastewater infrastructure. Population estimates are highly predictive of population</w:t>
      </w:r>
      <w:r>
        <w:t xml:space="preserve"> </w:t>
      </w:r>
      <w:r w:rsidRPr="00853976">
        <w:t>equivalent treatment loads reported under the European Urban Wastewater Treatment Directive. We highlight challenges</w:t>
      </w:r>
      <w:r>
        <w:t xml:space="preserve"> </w:t>
      </w:r>
      <w:r w:rsidRPr="00853976">
        <w:t>associated with using geospatial data for wastewater-based epidemiology.</w:t>
      </w:r>
    </w:p>
    <w:p w14:paraId="4F182E06" w14:textId="77777777" w:rsidR="001538CF" w:rsidRDefault="001538CF" w:rsidP="00FC4A57"/>
    <w:p w14:paraId="10150A8A" w14:textId="502B04EE" w:rsidR="00831143" w:rsidRDefault="00FC4A57" w:rsidP="00831143">
      <w:r w:rsidRPr="00FC4A57">
        <w:t xml:space="preserve">This is a </w:t>
      </w:r>
      <w:r w:rsidRPr="00FC4A57">
        <w:rPr>
          <w:rStyle w:val="Strong"/>
          <w:rFonts w:eastAsiaTheme="majorEastAsia"/>
          <w:b w:val="0"/>
          <w:bCs w:val="0"/>
        </w:rPr>
        <w:t>research project repository</w:t>
      </w:r>
      <w:r w:rsidRPr="00FC4A57">
        <w:t xml:space="preserve"> that provides code and information to generate a consolidated </w:t>
      </w:r>
      <w:r w:rsidRPr="00FC4A57">
        <w:rPr>
          <w:rStyle w:val="Strong"/>
          <w:rFonts w:eastAsiaTheme="majorEastAsia"/>
          <w:b w:val="0"/>
          <w:bCs w:val="0"/>
        </w:rPr>
        <w:t>national dataset of wastewater catchment areas</w:t>
      </w:r>
      <w:r w:rsidRPr="00FC4A57">
        <w:t xml:space="preserve"> (i.e., areas draining into wastewater treatment works) across Great Britain. It was created to support spatial analysis of catchments and how they overlap with demographic units like census areas. The catchment polygons come from </w:t>
      </w:r>
      <w:r w:rsidRPr="00FC4A57">
        <w:rPr>
          <w:rStyle w:val="Strong"/>
          <w:rFonts w:eastAsiaTheme="majorEastAsia"/>
          <w:b w:val="0"/>
          <w:bCs w:val="0"/>
        </w:rPr>
        <w:t>Environmental Information Regulations (EIR) requests</w:t>
      </w:r>
      <w:r w:rsidRPr="00FC4A57">
        <w:t xml:space="preserve"> to UK water companies (e.g., Anglian, Thames, Welsh Water, United Utilities, etc.). Data for most companies were provided and consolidated.</w:t>
      </w:r>
      <w:r w:rsidR="00831143">
        <w:t xml:space="preserve"> They</w:t>
      </w:r>
      <w:r w:rsidR="00831143">
        <w:t xml:space="preserve"> consolidated the</w:t>
      </w:r>
    </w:p>
    <w:p w14:paraId="12420975" w14:textId="77777777" w:rsidR="00831143" w:rsidRDefault="00831143" w:rsidP="00831143">
      <w:r>
        <w:lastRenderedPageBreak/>
        <w:t>data, removed duplicate catchments, annotated conflicting information, and matched</w:t>
      </w:r>
    </w:p>
    <w:p w14:paraId="0A717F43" w14:textId="77777777" w:rsidR="00831143" w:rsidRDefault="00831143" w:rsidP="00831143">
      <w:r>
        <w:t>wastewater catchments to the respective treatment plant and associated metadata. The</w:t>
      </w:r>
    </w:p>
    <w:p w14:paraId="3F2BD1D5" w14:textId="77777777" w:rsidR="00831143" w:rsidRDefault="00831143" w:rsidP="00831143">
      <w:r>
        <w:t>metadata include population equivalent treatment load (measured by biological oxygen</w:t>
      </w:r>
    </w:p>
    <w:p w14:paraId="0F1D9D77" w14:textId="77777777" w:rsidR="00831143" w:rsidRDefault="00831143" w:rsidP="00831143">
      <w:r>
        <w:t>demand), as reported under the Urban Wastewater Treatment Directive of the Council</w:t>
      </w:r>
    </w:p>
    <w:p w14:paraId="085207AB" w14:textId="7E2EA3D6" w:rsidR="00FC4A57" w:rsidRPr="00FC4A57" w:rsidRDefault="00831143" w:rsidP="00831143">
      <w:r>
        <w:t>of the European Union [9].</w:t>
      </w:r>
    </w:p>
    <w:p w14:paraId="778A358C" w14:textId="77777777" w:rsidR="00FC4A57" w:rsidRPr="00FC4A57" w:rsidRDefault="00FC4A57" w:rsidP="00FC4A57"/>
    <w:p w14:paraId="3B9025CA" w14:textId="77777777" w:rsidR="00FC4A57" w:rsidRPr="00FC4A57" w:rsidRDefault="00FC4A57" w:rsidP="00FC4A57">
      <w:r w:rsidRPr="00FC4A57">
        <w:t>The consolidated dataset produced by the project includes several components:</w:t>
      </w:r>
    </w:p>
    <w:p w14:paraId="24068BE1" w14:textId="21892FC7" w:rsidR="00FC4A57" w:rsidRPr="00FC4A57" w:rsidRDefault="00FC4A57" w:rsidP="00FC4A57">
      <w:r w:rsidRPr="00FC4A57">
        <w:rPr>
          <w:rStyle w:val="Strong"/>
          <w:rFonts w:eastAsiaTheme="majorEastAsia"/>
          <w:b w:val="0"/>
          <w:bCs w:val="0"/>
        </w:rPr>
        <w:t xml:space="preserve">1. </w:t>
      </w:r>
      <w:r w:rsidRPr="00FC4A57">
        <w:rPr>
          <w:rStyle w:val="HTMLCode"/>
          <w:rFonts w:eastAsiaTheme="majorEastAsia"/>
        </w:rPr>
        <w:t>catchments_consolidated.*</w:t>
      </w:r>
    </w:p>
    <w:p w14:paraId="2A30FF58" w14:textId="77777777" w:rsidR="00FC4A57" w:rsidRPr="00FC4A57" w:rsidRDefault="00FC4A57" w:rsidP="00FC4A57">
      <w:r w:rsidRPr="00FC4A57">
        <w:t xml:space="preserve">A </w:t>
      </w:r>
      <w:r w:rsidRPr="00FC4A57">
        <w:rPr>
          <w:rStyle w:val="Strong"/>
          <w:rFonts w:eastAsiaTheme="majorEastAsia"/>
          <w:b w:val="0"/>
          <w:bCs w:val="0"/>
        </w:rPr>
        <w:t>geospatial file</w:t>
      </w:r>
      <w:r w:rsidRPr="00FC4A57">
        <w:t xml:space="preserve"> (e.g., Shapefile) of wastewater catchment boundaries across Great Britain.</w:t>
      </w:r>
    </w:p>
    <w:p w14:paraId="34C0AD2F" w14:textId="77777777" w:rsidR="00FC4A57" w:rsidRPr="00FC4A57" w:rsidRDefault="00FC4A57" w:rsidP="00FC4A57">
      <w:r w:rsidRPr="00FC4A57">
        <w:t>Each feature has:</w:t>
      </w:r>
    </w:p>
    <w:p w14:paraId="5EC0B239" w14:textId="77777777" w:rsidR="00FC4A57" w:rsidRPr="00FC4A57" w:rsidRDefault="00FC4A57" w:rsidP="00FC4A57">
      <w:r w:rsidRPr="00FC4A57">
        <w:t xml:space="preserve">A </w:t>
      </w:r>
      <w:r w:rsidRPr="00FC4A57">
        <w:rPr>
          <w:rStyle w:val="Strong"/>
          <w:rFonts w:eastAsiaTheme="majorEastAsia"/>
          <w:b w:val="0"/>
          <w:bCs w:val="0"/>
        </w:rPr>
        <w:t>unique identifier</w:t>
      </w:r>
    </w:p>
    <w:p w14:paraId="21821FDB" w14:textId="77777777" w:rsidR="00FC4A57" w:rsidRPr="00FC4A57" w:rsidRDefault="00FC4A57" w:rsidP="00FC4A57">
      <w:r w:rsidRPr="00FC4A57">
        <w:t xml:space="preserve">The </w:t>
      </w:r>
      <w:r w:rsidRPr="00FC4A57">
        <w:rPr>
          <w:rStyle w:val="Strong"/>
          <w:rFonts w:eastAsiaTheme="majorEastAsia"/>
          <w:b w:val="0"/>
          <w:bCs w:val="0"/>
        </w:rPr>
        <w:t>water company</w:t>
      </w:r>
      <w:r w:rsidRPr="00FC4A57">
        <w:t xml:space="preserve"> that supplied the data</w:t>
      </w:r>
    </w:p>
    <w:p w14:paraId="180CE4A9" w14:textId="77777777" w:rsidR="00FC4A57" w:rsidRPr="00FC4A57" w:rsidRDefault="00FC4A57" w:rsidP="00FC4A57">
      <w:r w:rsidRPr="00FC4A57">
        <w:t xml:space="preserve">A </w:t>
      </w:r>
      <w:r w:rsidRPr="00FC4A57">
        <w:rPr>
          <w:rStyle w:val="Strong"/>
          <w:rFonts w:eastAsiaTheme="majorEastAsia"/>
          <w:b w:val="0"/>
          <w:bCs w:val="0"/>
        </w:rPr>
        <w:t>catchment name</w:t>
      </w:r>
    </w:p>
    <w:p w14:paraId="41ACE18A" w14:textId="77777777" w:rsidR="00FC4A57" w:rsidRPr="00FC4A57" w:rsidRDefault="00FC4A57" w:rsidP="00FC4A57">
      <w:r w:rsidRPr="00FC4A57">
        <w:t>Optional comments for overlaps or annotations</w:t>
      </w:r>
    </w:p>
    <w:p w14:paraId="01FED93D" w14:textId="4196F905" w:rsidR="00FC4A57" w:rsidRPr="00FC4A57" w:rsidRDefault="00FC4A57" w:rsidP="00FC4A57">
      <w:r w:rsidRPr="00FC4A57">
        <w:t xml:space="preserve">Covers </w:t>
      </w:r>
      <w:r w:rsidRPr="00FC4A57">
        <w:rPr>
          <w:rStyle w:val="Strong"/>
          <w:rFonts w:eastAsiaTheme="majorEastAsia"/>
          <w:b w:val="0"/>
          <w:bCs w:val="0"/>
        </w:rPr>
        <w:t>8,185 catchment areas</w:t>
      </w:r>
      <w:r w:rsidRPr="00FC4A57">
        <w:t xml:space="preserve"> and accounts for over </w:t>
      </w:r>
      <w:r w:rsidRPr="00FC4A57">
        <w:rPr>
          <w:rStyle w:val="Strong"/>
          <w:rFonts w:eastAsiaTheme="majorEastAsia"/>
          <w:b w:val="0"/>
          <w:bCs w:val="0"/>
        </w:rPr>
        <w:t>99 % of the GB population</w:t>
      </w:r>
      <w:r w:rsidRPr="00FC4A57">
        <w:t xml:space="preserve">. </w:t>
      </w:r>
    </w:p>
    <w:p w14:paraId="28E09C01" w14:textId="76B25003" w:rsidR="00FC4A57" w:rsidRPr="00FC4A57" w:rsidRDefault="00FC4A57" w:rsidP="00FC4A57">
      <w:r w:rsidRPr="00FC4A57">
        <w:rPr>
          <w:rStyle w:val="Strong"/>
          <w:rFonts w:eastAsiaTheme="majorEastAsia"/>
          <w:b w:val="0"/>
          <w:bCs w:val="0"/>
        </w:rPr>
        <w:t xml:space="preserve">2. </w:t>
      </w:r>
      <w:r w:rsidRPr="00FC4A57">
        <w:rPr>
          <w:rStyle w:val="HTMLCode"/>
          <w:rFonts w:eastAsiaTheme="majorEastAsia"/>
        </w:rPr>
        <w:t>waterbase_consolidated.csv</w:t>
      </w:r>
    </w:p>
    <w:p w14:paraId="4BCD9799" w14:textId="77777777" w:rsidR="00FC4A57" w:rsidRPr="00FC4A57" w:rsidRDefault="00FC4A57" w:rsidP="00FC4A57">
      <w:r w:rsidRPr="00FC4A57">
        <w:t xml:space="preserve">Contains </w:t>
      </w:r>
      <w:r w:rsidRPr="00FC4A57">
        <w:rPr>
          <w:rStyle w:val="Strong"/>
          <w:rFonts w:eastAsiaTheme="majorEastAsia"/>
          <w:b w:val="0"/>
          <w:bCs w:val="0"/>
        </w:rPr>
        <w:t>metadata for wastewater treatment works</w:t>
      </w:r>
      <w:r w:rsidRPr="00FC4A57">
        <w:t xml:space="preserve"> reported under the EU </w:t>
      </w:r>
      <w:r w:rsidRPr="00FC4A57">
        <w:rPr>
          <w:rStyle w:val="Strong"/>
          <w:rFonts w:eastAsiaTheme="majorEastAsia"/>
          <w:b w:val="0"/>
          <w:bCs w:val="0"/>
        </w:rPr>
        <w:t>Urban Wastewater Treatment Directive (UWWTD)</w:t>
      </w:r>
      <w:r w:rsidRPr="00FC4A57">
        <w:t xml:space="preserve"> (from approx. 2006–2018).</w:t>
      </w:r>
    </w:p>
    <w:p w14:paraId="293DB322" w14:textId="77777777" w:rsidR="00FC4A57" w:rsidRPr="00FC4A57" w:rsidRDefault="00FC4A57" w:rsidP="00FC4A57">
      <w:r w:rsidRPr="00FC4A57">
        <w:t>Includes:</w:t>
      </w:r>
    </w:p>
    <w:p w14:paraId="3F0DDE11" w14:textId="77777777" w:rsidR="00FC4A57" w:rsidRPr="00FC4A57" w:rsidRDefault="00FC4A57" w:rsidP="00FC4A57">
      <w:r w:rsidRPr="00FC4A57">
        <w:t>Treatment works codes and names</w:t>
      </w:r>
    </w:p>
    <w:p w14:paraId="120D0D4B" w14:textId="77777777" w:rsidR="00FC4A57" w:rsidRPr="00FC4A57" w:rsidRDefault="00FC4A57" w:rsidP="00FC4A57">
      <w:r w:rsidRPr="00FC4A57">
        <w:t>Lat/long coordinates</w:t>
      </w:r>
    </w:p>
    <w:p w14:paraId="19C3A4EE" w14:textId="77777777" w:rsidR="00FC4A57" w:rsidRPr="00FC4A57" w:rsidRDefault="00FC4A57" w:rsidP="00FC4A57">
      <w:r w:rsidRPr="00FC4A57">
        <w:t>Capacity / load entering the works</w:t>
      </w:r>
    </w:p>
    <w:p w14:paraId="019AF829" w14:textId="77777777" w:rsidR="00FC4A57" w:rsidRPr="00FC4A57" w:rsidRDefault="00FC4A57" w:rsidP="00FC4A57">
      <w:r w:rsidRPr="00FC4A57">
        <w:t>Reporting year</w:t>
      </w:r>
    </w:p>
    <w:p w14:paraId="6FFF073C" w14:textId="48E1F33B" w:rsidR="00FC4A57" w:rsidRPr="00FC4A57" w:rsidRDefault="00FC4A57" w:rsidP="00FC4A57">
      <w:r w:rsidRPr="00FC4A57">
        <w:t xml:space="preserve">Helps link catchments to specific works. </w:t>
      </w:r>
    </w:p>
    <w:p w14:paraId="25C5819F" w14:textId="11C01E31" w:rsidR="00FC4A57" w:rsidRPr="00FC4A57" w:rsidRDefault="00FC4A57" w:rsidP="00FC4A57">
      <w:r w:rsidRPr="00FC4A57">
        <w:rPr>
          <w:rStyle w:val="Strong"/>
          <w:rFonts w:eastAsiaTheme="majorEastAsia"/>
          <w:b w:val="0"/>
          <w:bCs w:val="0"/>
        </w:rPr>
        <w:t xml:space="preserve">3. </w:t>
      </w:r>
      <w:r w:rsidRPr="00FC4A57">
        <w:rPr>
          <w:rStyle w:val="HTMLCode"/>
          <w:rFonts w:eastAsiaTheme="majorEastAsia"/>
        </w:rPr>
        <w:t>waterbase_catchment_lookup.csv</w:t>
      </w:r>
    </w:p>
    <w:p w14:paraId="250A7360" w14:textId="77777777" w:rsidR="00FC4A57" w:rsidRPr="00FC4A57" w:rsidRDefault="00FC4A57" w:rsidP="00FC4A57">
      <w:r w:rsidRPr="00FC4A57">
        <w:t xml:space="preserve">A </w:t>
      </w:r>
      <w:r w:rsidRPr="00FC4A57">
        <w:rPr>
          <w:rStyle w:val="Strong"/>
          <w:rFonts w:eastAsiaTheme="majorEastAsia"/>
          <w:b w:val="0"/>
          <w:bCs w:val="0"/>
        </w:rPr>
        <w:t>lookup table</w:t>
      </w:r>
      <w:r w:rsidRPr="00FC4A57">
        <w:t xml:space="preserve"> connecting:</w:t>
      </w:r>
    </w:p>
    <w:p w14:paraId="1CF8EFB6" w14:textId="77777777" w:rsidR="00FC4A57" w:rsidRPr="00FC4A57" w:rsidRDefault="00FC4A57" w:rsidP="00FC4A57">
      <w:r w:rsidRPr="00FC4A57">
        <w:t>Catchment areas to</w:t>
      </w:r>
    </w:p>
    <w:p w14:paraId="1510D7AF" w14:textId="77777777" w:rsidR="00FC4A57" w:rsidRPr="00FC4A57" w:rsidRDefault="00FC4A57" w:rsidP="00FC4A57">
      <w:r w:rsidRPr="00FC4A57">
        <w:t xml:space="preserve">Their associated </w:t>
      </w:r>
      <w:r w:rsidRPr="00FC4A57">
        <w:rPr>
          <w:rStyle w:val="Strong"/>
          <w:rFonts w:eastAsiaTheme="majorEastAsia"/>
          <w:b w:val="0"/>
          <w:bCs w:val="0"/>
        </w:rPr>
        <w:t>wastewater treatment works</w:t>
      </w:r>
    </w:p>
    <w:p w14:paraId="252EA00A" w14:textId="1B400BB1" w:rsidR="00FC4A57" w:rsidRPr="00FC4A57" w:rsidRDefault="00FC4A57" w:rsidP="00FC4A57">
      <w:r w:rsidRPr="00FC4A57">
        <w:t xml:space="preserve">Includes a simple distance measure between catchment and works. </w:t>
      </w:r>
    </w:p>
    <w:p w14:paraId="08BE5895" w14:textId="2E842DBE" w:rsidR="00FC4A57" w:rsidRPr="00FC4A57" w:rsidRDefault="00FC4A57" w:rsidP="00FC4A57">
      <w:r w:rsidRPr="00FC4A57">
        <w:rPr>
          <w:rStyle w:val="Strong"/>
          <w:rFonts w:eastAsiaTheme="majorEastAsia"/>
          <w:b w:val="0"/>
          <w:bCs w:val="0"/>
        </w:rPr>
        <w:t xml:space="preserve">4. </w:t>
      </w:r>
      <w:r w:rsidRPr="00FC4A57">
        <w:rPr>
          <w:rStyle w:val="HTMLCode"/>
          <w:rFonts w:eastAsiaTheme="majorEastAsia"/>
        </w:rPr>
        <w:t>lsoa_catchment_lookup.csv</w:t>
      </w:r>
    </w:p>
    <w:p w14:paraId="09590168" w14:textId="77777777" w:rsidR="00FC4A57" w:rsidRPr="00FC4A57" w:rsidRDefault="00FC4A57" w:rsidP="00FC4A57">
      <w:r w:rsidRPr="00FC4A57">
        <w:t xml:space="preserve">A </w:t>
      </w:r>
      <w:r w:rsidRPr="00FC4A57">
        <w:rPr>
          <w:rStyle w:val="Strong"/>
          <w:rFonts w:eastAsiaTheme="majorEastAsia"/>
          <w:b w:val="0"/>
          <w:bCs w:val="0"/>
        </w:rPr>
        <w:t>lookup table</w:t>
      </w:r>
      <w:r w:rsidRPr="00FC4A57">
        <w:t xml:space="preserve"> linking catchments to </w:t>
      </w:r>
      <w:r w:rsidRPr="00FC4A57">
        <w:rPr>
          <w:rStyle w:val="Strong"/>
          <w:rFonts w:eastAsiaTheme="majorEastAsia"/>
          <w:b w:val="0"/>
          <w:bCs w:val="0"/>
        </w:rPr>
        <w:t>Lower Layer Super Output Areas (LSOAs)</w:t>
      </w:r>
      <w:r w:rsidRPr="00FC4A57">
        <w:t xml:space="preserve"> — small census geographies used for population analysis.</w:t>
      </w:r>
    </w:p>
    <w:p w14:paraId="73A999F2" w14:textId="72E1A741" w:rsidR="00FC4A57" w:rsidRPr="00FC4A57" w:rsidRDefault="00FC4A57" w:rsidP="00FC4A57">
      <w:r w:rsidRPr="00FC4A57">
        <w:t xml:space="preserve">Includes the </w:t>
      </w:r>
      <w:r w:rsidRPr="00FC4A57">
        <w:rPr>
          <w:rStyle w:val="Strong"/>
          <w:rFonts w:eastAsiaTheme="majorEastAsia"/>
          <w:b w:val="0"/>
          <w:bCs w:val="0"/>
        </w:rPr>
        <w:t>area of overlap</w:t>
      </w:r>
      <w:r w:rsidRPr="00FC4A57">
        <w:t xml:space="preserve"> between each catchment and LSOA. </w:t>
      </w:r>
    </w:p>
    <w:p w14:paraId="7CFCCD61" w14:textId="77777777" w:rsidR="00FC4A57" w:rsidRPr="00FC4A57" w:rsidRDefault="00FC4A57" w:rsidP="00FC4A57"/>
    <w:p w14:paraId="5D160069" w14:textId="77777777" w:rsidR="00FC4A57" w:rsidRPr="00FC4A57" w:rsidRDefault="00FC4A57" w:rsidP="00FC4A57"/>
    <w:p w14:paraId="6AD9BA93" w14:textId="4DFCD528" w:rsidR="00FC4A57" w:rsidRPr="00FC4A57" w:rsidRDefault="00FC4A57" w:rsidP="00FC4A57">
      <w:r w:rsidRPr="00FC4A57">
        <w:t>Paper in sources/papers/sewage/</w:t>
      </w:r>
    </w:p>
    <w:p w14:paraId="06710EBF" w14:textId="785D17CC" w:rsidR="00FC4A57" w:rsidRPr="00FC4A57" w:rsidRDefault="00FC4A57" w:rsidP="00FC4A57">
      <w:r w:rsidRPr="00FC4A57">
        <w:t>Data as zipped file in data/raw/</w:t>
      </w:r>
    </w:p>
    <w:p w14:paraId="12048E4E" w14:textId="77777777" w:rsidR="00FC4A57" w:rsidRPr="00FC4A57" w:rsidRDefault="00FC4A57" w:rsidP="00FC4A57"/>
    <w:p w14:paraId="4A7F3150" w14:textId="3DD791E3" w:rsidR="00FC4A57" w:rsidRPr="00FC4A57" w:rsidRDefault="00FC4A57" w:rsidP="00FC4A57">
      <w:r w:rsidRPr="00FC4A57">
        <w:t>https://essopenarchive.org/users/556109/articles/606316-wastewater-catchment-areas-in-great-britain?utm_source=chatgpt.com</w:t>
      </w:r>
      <w:r w:rsidRPr="00FC4A57">
        <w:t xml:space="preserve"> </w:t>
      </w:r>
    </w:p>
    <w:p w14:paraId="17D85D06" w14:textId="77777777" w:rsidR="00FC4A57" w:rsidRPr="00FC4A57" w:rsidRDefault="00FC4A57" w:rsidP="00FC4A57"/>
    <w:p w14:paraId="296B58E5" w14:textId="0C93A973" w:rsidR="00E56371" w:rsidRPr="00C417B2" w:rsidRDefault="00E56371" w:rsidP="00E56371">
      <w:pPr>
        <w:pStyle w:val="Heading1"/>
      </w:pPr>
      <w:r>
        <w:t xml:space="preserve">CSO Placement </w:t>
      </w:r>
    </w:p>
    <w:p w14:paraId="163E1D57" w14:textId="77777777" w:rsidR="00E56371" w:rsidRPr="00C417B2" w:rsidRDefault="00E56371" w:rsidP="00E56371">
      <w:pPr>
        <w:rPr>
          <w:rFonts w:ascii="Arial" w:hAnsi="Arial" w:cs="Arial"/>
        </w:rPr>
      </w:pPr>
    </w:p>
    <w:p w14:paraId="67F84568" w14:textId="77777777" w:rsidR="00E56371" w:rsidRPr="000036E8" w:rsidRDefault="00E56371" w:rsidP="00E56371">
      <w:pPr>
        <w:pStyle w:val="Heading2"/>
      </w:pPr>
      <w:r w:rsidRPr="000036E8">
        <w:t>Important features</w:t>
      </w:r>
    </w:p>
    <w:p w14:paraId="3A8B8677" w14:textId="77777777" w:rsidR="00E56371" w:rsidRDefault="00E56371" w:rsidP="00E56371">
      <w:pPr>
        <w:rPr>
          <w:rFonts w:ascii="Arial" w:hAnsi="Arial" w:cs="Arial"/>
        </w:rPr>
      </w:pPr>
      <w:r>
        <w:rPr>
          <w:rFonts w:ascii="Arial" w:hAnsi="Arial" w:cs="Arial"/>
        </w:rPr>
        <w:t xml:space="preserve">Spills are persistent </w:t>
      </w:r>
      <w:r w:rsidRPr="00CC5FCC">
        <w:rPr>
          <w:rFonts w:ascii="Arial" w:hAnsi="Arial" w:cs="Arial"/>
        </w:rPr>
        <w:sym w:font="Wingdings" w:char="F0E0"/>
      </w:r>
      <w:r>
        <w:rPr>
          <w:rFonts w:ascii="Arial" w:hAnsi="Arial" w:cs="Arial"/>
        </w:rPr>
        <w:t xml:space="preserve"> rules out rainfall shock variations </w:t>
      </w:r>
    </w:p>
    <w:p w14:paraId="15B25B59" w14:textId="77777777" w:rsidR="00E56371" w:rsidRDefault="00E56371" w:rsidP="00E56371">
      <w:pPr>
        <w:rPr>
          <w:rFonts w:ascii="Arial" w:hAnsi="Arial" w:cs="Arial"/>
        </w:rPr>
      </w:pPr>
      <w:r>
        <w:rPr>
          <w:rFonts w:ascii="Arial" w:hAnsi="Arial" w:cs="Arial"/>
        </w:rPr>
        <w:t xml:space="preserve">Spills are larger than anyone knew </w:t>
      </w:r>
      <w:r w:rsidRPr="00CC5FCC">
        <w:rPr>
          <w:rFonts w:ascii="Arial" w:hAnsi="Arial" w:cs="Arial"/>
        </w:rPr>
        <w:sym w:font="Wingdings" w:char="F0E0"/>
      </w:r>
      <w:r>
        <w:rPr>
          <w:rFonts w:ascii="Arial" w:hAnsi="Arial" w:cs="Arial"/>
        </w:rPr>
        <w:t xml:space="preserve"> information value in CSO rollout</w:t>
      </w:r>
    </w:p>
    <w:p w14:paraId="7667302F" w14:textId="77777777" w:rsidR="00E56371" w:rsidRDefault="00E56371" w:rsidP="00E56371">
      <w:pPr>
        <w:rPr>
          <w:rFonts w:ascii="Arial" w:hAnsi="Arial" w:cs="Arial"/>
        </w:rPr>
      </w:pPr>
    </w:p>
    <w:p w14:paraId="6FB06685" w14:textId="77777777" w:rsidR="00E56371" w:rsidRPr="000036E8" w:rsidRDefault="00E56371" w:rsidP="00E56371">
      <w:pPr>
        <w:pStyle w:val="Heading2"/>
      </w:pPr>
      <w:r w:rsidRPr="000036E8">
        <w:t>Potential instruments</w:t>
      </w:r>
      <w:r>
        <w:t xml:space="preserve"> for CSO placement</w:t>
      </w:r>
    </w:p>
    <w:p w14:paraId="5D59E849"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Rollout of EDMs</w:t>
      </w:r>
      <w:r w:rsidRPr="005B67C3">
        <w:rPr>
          <w:rFonts w:ascii="Arial" w:hAnsi="Arial" w:cs="Arial"/>
        </w:rPr>
        <w:t xml:space="preserve"> </w:t>
      </w:r>
    </w:p>
    <w:p w14:paraId="57349C9A" w14:textId="77777777" w:rsidR="00B663C0" w:rsidRPr="00B663C0" w:rsidRDefault="00B663C0" w:rsidP="00B663C0">
      <w:pPr>
        <w:rPr>
          <w:rFonts w:ascii="Arial" w:hAnsi="Arial" w:cs="Arial"/>
        </w:rPr>
      </w:pPr>
      <w:r w:rsidRPr="00B663C0">
        <w:rPr>
          <w:rFonts w:ascii="Arial" w:hAnsi="Arial" w:cs="Arial"/>
        </w:rPr>
        <w:t>Observed spills affected by EDM activation and other factors, news stories if possible at local level</w:t>
      </w:r>
    </w:p>
    <w:p w14:paraId="5D312EFB" w14:textId="38CDBE8F" w:rsidR="00E56371" w:rsidRDefault="00E56371" w:rsidP="00E56371">
      <w:pPr>
        <w:rPr>
          <w:rFonts w:ascii="Arial" w:hAnsi="Arial" w:cs="Arial"/>
        </w:rPr>
      </w:pPr>
      <w:r>
        <w:rPr>
          <w:rFonts w:ascii="Arial" w:hAnsi="Arial" w:cs="Arial"/>
        </w:rPr>
        <w:t xml:space="preserve">Non-random rollout prioritising </w:t>
      </w:r>
      <w:r w:rsidR="00B90C46">
        <w:rPr>
          <w:rFonts w:ascii="Arial" w:hAnsi="Arial" w:cs="Arial"/>
        </w:rPr>
        <w:t>ecological</w:t>
      </w:r>
      <w:r>
        <w:rPr>
          <w:rFonts w:ascii="Arial" w:hAnsi="Arial" w:cs="Arial"/>
        </w:rPr>
        <w:t xml:space="preserve"> sites like bathing waters and SSSIs, and possibly falsify where pressure groups were located. </w:t>
      </w:r>
    </w:p>
    <w:p w14:paraId="42E433B1" w14:textId="77777777" w:rsidR="00E56371" w:rsidRDefault="00E56371" w:rsidP="00E56371">
      <w:pPr>
        <w:rPr>
          <w:rFonts w:ascii="Arial" w:hAnsi="Arial" w:cs="Arial"/>
        </w:rPr>
      </w:pPr>
    </w:p>
    <w:p w14:paraId="479FE557"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Geological/natural geographical features</w:t>
      </w:r>
      <w:r w:rsidRPr="005B67C3">
        <w:rPr>
          <w:rFonts w:ascii="Arial" w:hAnsi="Arial" w:cs="Arial"/>
        </w:rPr>
        <w:t xml:space="preserve"> </w:t>
      </w:r>
    </w:p>
    <w:p w14:paraId="5C2E24DA" w14:textId="77777777" w:rsidR="00E56371" w:rsidRPr="005B67C3" w:rsidRDefault="00E56371" w:rsidP="00E56371">
      <w:pPr>
        <w:rPr>
          <w:rFonts w:ascii="Arial" w:hAnsi="Arial" w:cs="Arial"/>
        </w:rPr>
      </w:pPr>
      <w:r w:rsidRPr="005B67C3">
        <w:rPr>
          <w:rFonts w:ascii="Arial" w:hAnsi="Arial" w:cs="Arial"/>
        </w:rPr>
        <w:t xml:space="preserve">Catchment slope, Soil infiltration capacity and Drainage density. </w:t>
      </w:r>
    </w:p>
    <w:p w14:paraId="37C510C3" w14:textId="77777777" w:rsidR="00232613" w:rsidRDefault="00E56371" w:rsidP="00E56371">
      <w:pPr>
        <w:rPr>
          <w:rFonts w:ascii="Arial" w:hAnsi="Arial" w:cs="Arial"/>
        </w:rPr>
      </w:pPr>
      <w:r w:rsidRPr="00C417B2">
        <w:rPr>
          <w:rFonts w:ascii="Arial" w:hAnsi="Arial" w:cs="Arial"/>
        </w:rPr>
        <w:t>Downstream v upstream of CSOs</w:t>
      </w:r>
      <w:r>
        <w:rPr>
          <w:rFonts w:ascii="Arial" w:hAnsi="Arial" w:cs="Arial"/>
        </w:rPr>
        <w:t xml:space="preserve"> (need elevation and water flow maps). Perrmeability of soil so how much absorbed. </w:t>
      </w:r>
    </w:p>
    <w:p w14:paraId="7148AEC3" w14:textId="6F08983B" w:rsidR="00E56371" w:rsidRDefault="00E56371" w:rsidP="00E56371">
      <w:pPr>
        <w:rPr>
          <w:rFonts w:ascii="Arial" w:hAnsi="Arial" w:cs="Arial"/>
        </w:rPr>
      </w:pPr>
      <w:r>
        <w:rPr>
          <w:rFonts w:ascii="Arial" w:hAnsi="Arial" w:cs="Arial"/>
        </w:rPr>
        <w:t xml:space="preserve">Drainage density of </w:t>
      </w:r>
      <w:r w:rsidRPr="00610E9D">
        <w:rPr>
          <w:rFonts w:ascii="Arial" w:hAnsi="Arial" w:cs="Arial"/>
          <w:color w:val="0F1115"/>
          <w:shd w:val="clear" w:color="auto" w:fill="FFFFFF"/>
        </w:rPr>
        <w:t>how many tributaries the sewer system had to consolidate</w:t>
      </w:r>
      <w:r>
        <w:rPr>
          <w:rFonts w:ascii="Arial" w:hAnsi="Arial" w:cs="Arial"/>
          <w:color w:val="0F1115"/>
          <w:shd w:val="clear" w:color="auto" w:fill="FFFFFF"/>
        </w:rPr>
        <w:t>.</w:t>
      </w:r>
      <w:r>
        <w:rPr>
          <w:rFonts w:ascii="Arial" w:hAnsi="Arial" w:cs="Arial"/>
        </w:rPr>
        <w:t xml:space="preserve"> Predicted spills more likely in downstream locations or in areas with upstream impermeable land or more network junctions. </w:t>
      </w:r>
    </w:p>
    <w:p w14:paraId="0C655A71" w14:textId="77777777" w:rsidR="00E56371" w:rsidRPr="00C417B2" w:rsidRDefault="00E56371" w:rsidP="00E56371">
      <w:pPr>
        <w:rPr>
          <w:rFonts w:ascii="Arial" w:hAnsi="Arial" w:cs="Arial"/>
        </w:rPr>
      </w:pPr>
    </w:p>
    <w:p w14:paraId="274B4E3C"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Historic hydraulic features</w:t>
      </w:r>
      <w:r w:rsidRPr="005B67C3">
        <w:rPr>
          <w:rFonts w:ascii="Arial" w:hAnsi="Arial" w:cs="Arial"/>
        </w:rPr>
        <w:t xml:space="preserve"> </w:t>
      </w:r>
    </w:p>
    <w:p w14:paraId="0F051B95" w14:textId="77777777" w:rsidR="00E56371" w:rsidRDefault="00E56371" w:rsidP="00E56371">
      <w:pPr>
        <w:rPr>
          <w:rFonts w:ascii="Arial" w:hAnsi="Arial" w:cs="Arial"/>
          <w:b/>
          <w:bCs/>
        </w:rPr>
      </w:pPr>
    </w:p>
    <w:p w14:paraId="51FFD70E" w14:textId="77777777" w:rsidR="00E56371" w:rsidRDefault="00E56371" w:rsidP="00E56371">
      <w:pPr>
        <w:rPr>
          <w:rFonts w:ascii="Arial" w:hAnsi="Arial" w:cs="Arial"/>
          <w:b/>
          <w:bCs/>
        </w:rPr>
      </w:pPr>
      <w:r>
        <w:rPr>
          <w:rFonts w:ascii="Arial" w:hAnsi="Arial" w:cs="Arial"/>
          <w:b/>
          <w:bCs/>
        </w:rPr>
        <w:t>Treatment Plants</w:t>
      </w:r>
    </w:p>
    <w:p w14:paraId="5EEA0934" w14:textId="12A534E7" w:rsidR="00E56371" w:rsidRDefault="00E56371" w:rsidP="00E56371">
      <w:pPr>
        <w:rPr>
          <w:rFonts w:ascii="Arial" w:hAnsi="Arial" w:cs="Arial"/>
        </w:rPr>
      </w:pPr>
      <w:r>
        <w:rPr>
          <w:rFonts w:ascii="Arial" w:hAnsi="Arial" w:cs="Arial"/>
        </w:rPr>
        <w:t>H</w:t>
      </w:r>
      <w:r w:rsidRPr="005B67C3">
        <w:rPr>
          <w:rFonts w:ascii="Arial" w:hAnsi="Arial" w:cs="Arial"/>
        </w:rPr>
        <w:t>istorically determined and highly persistent</w:t>
      </w:r>
      <w:r w:rsidR="00232613">
        <w:rPr>
          <w:rFonts w:ascii="Arial" w:hAnsi="Arial" w:cs="Arial"/>
        </w:rPr>
        <w:t xml:space="preserve">, and </w:t>
      </w:r>
      <w:r w:rsidRPr="005B67C3">
        <w:rPr>
          <w:rFonts w:ascii="Arial" w:hAnsi="Arial" w:cs="Arial"/>
        </w:rPr>
        <w:t>anchor drainage direction of catchment areas</w:t>
      </w:r>
      <w:r>
        <w:rPr>
          <w:rFonts w:ascii="Arial" w:hAnsi="Arial" w:cs="Arial"/>
        </w:rPr>
        <w:t xml:space="preserve">. </w:t>
      </w:r>
    </w:p>
    <w:p w14:paraId="536FF6EB" w14:textId="77777777" w:rsidR="00E56371" w:rsidRDefault="00E56371" w:rsidP="00E56371">
      <w:pPr>
        <w:rPr>
          <w:rFonts w:ascii="Arial" w:hAnsi="Arial" w:cs="Arial"/>
          <w:b/>
          <w:bCs/>
        </w:rPr>
      </w:pPr>
    </w:p>
    <w:p w14:paraId="096065D9" w14:textId="7CFA6742" w:rsidR="00E56371" w:rsidRPr="005B67C3" w:rsidRDefault="00E56371" w:rsidP="00E56371">
      <w:pPr>
        <w:pStyle w:val="ListParagraph"/>
        <w:numPr>
          <w:ilvl w:val="0"/>
          <w:numId w:val="4"/>
        </w:numPr>
        <w:rPr>
          <w:rFonts w:ascii="Arial" w:hAnsi="Arial" w:cs="Arial"/>
        </w:rPr>
      </w:pPr>
      <w:r w:rsidRPr="005B67C3">
        <w:rPr>
          <w:rFonts w:ascii="Arial" w:hAnsi="Arial" w:cs="Arial"/>
          <w:b/>
          <w:bCs/>
        </w:rPr>
        <w:t>Distance to water works treatment plants</w:t>
      </w:r>
      <w:r w:rsidRPr="005B67C3">
        <w:rPr>
          <w:rFonts w:ascii="Arial" w:hAnsi="Arial" w:cs="Arial"/>
        </w:rPr>
        <w:t xml:space="preserve"> </w:t>
      </w:r>
      <w:r w:rsidRPr="000036E8">
        <w:sym w:font="Wingdings" w:char="F0DF"/>
      </w:r>
      <w:r w:rsidRPr="005B67C3">
        <w:rPr>
          <w:rFonts w:ascii="Arial" w:hAnsi="Arial" w:cs="Arial"/>
        </w:rPr>
        <w:t xml:space="preserve"> explains pressure on system. </w:t>
      </w:r>
      <w:r>
        <w:rPr>
          <w:rFonts w:ascii="Arial" w:hAnsi="Arial" w:cs="Arial"/>
        </w:rPr>
        <w:t>C</w:t>
      </w:r>
      <w:r w:rsidRPr="005B67C3">
        <w:rPr>
          <w:rFonts w:ascii="Arial" w:hAnsi="Arial" w:cs="Arial"/>
        </w:rPr>
        <w:t xml:space="preserve">ould be sited near industry so downstream areas may have historic trajectories. </w:t>
      </w:r>
    </w:p>
    <w:p w14:paraId="522FEC74" w14:textId="4B68A61F" w:rsidR="00E56371" w:rsidRPr="005B67C3" w:rsidRDefault="00E56371" w:rsidP="00E56371">
      <w:pPr>
        <w:pStyle w:val="ListParagraph"/>
        <w:numPr>
          <w:ilvl w:val="0"/>
          <w:numId w:val="4"/>
        </w:numPr>
        <w:rPr>
          <w:rFonts w:ascii="Arial" w:hAnsi="Arial" w:cs="Arial"/>
        </w:rPr>
      </w:pPr>
      <w:r w:rsidRPr="005B67C3">
        <w:rPr>
          <w:rFonts w:ascii="Arial" w:hAnsi="Arial" w:cs="Arial"/>
          <w:b/>
          <w:bCs/>
        </w:rPr>
        <w:t>Closures of treatment plants</w:t>
      </w:r>
      <w:r w:rsidRPr="005B67C3">
        <w:rPr>
          <w:rFonts w:ascii="Arial" w:hAnsi="Arial" w:cs="Arial"/>
        </w:rPr>
        <w:t xml:space="preserve"> </w:t>
      </w:r>
      <w:r w:rsidRPr="000036E8">
        <w:sym w:font="Wingdings" w:char="F0DF"/>
      </w:r>
      <w:r w:rsidRPr="005B67C3">
        <w:rPr>
          <w:rFonts w:ascii="Arial" w:hAnsi="Arial" w:cs="Arial"/>
        </w:rPr>
        <w:t xml:space="preserve"> may have arisen due to pollution concerns but this should not affect where pressure relief is mechanically required in the system (instead affects where treatment eventually occurs </w:t>
      </w:r>
      <w:r w:rsidR="00DE2563">
        <w:rPr>
          <w:rFonts w:ascii="Arial" w:hAnsi="Arial" w:cs="Arial"/>
        </w:rPr>
        <w:t>unless new capacity added</w:t>
      </w:r>
      <w:r w:rsidRPr="005B67C3">
        <w:rPr>
          <w:rFonts w:ascii="Arial" w:hAnsi="Arial" w:cs="Arial"/>
        </w:rPr>
        <w:t>). More affected by closures when have low elevation within catchment (Stream Portal has maps), have capacity constraints and downstream tailwater conditions</w:t>
      </w:r>
      <w:r w:rsidR="00DE2563">
        <w:rPr>
          <w:rFonts w:ascii="Arial" w:hAnsi="Arial" w:cs="Arial"/>
        </w:rPr>
        <w:t>.</w:t>
      </w:r>
    </w:p>
    <w:p w14:paraId="71306E4E" w14:textId="4CBAF6C8" w:rsidR="00E56371" w:rsidRPr="00DE2563" w:rsidRDefault="00E56371" w:rsidP="00DE2563">
      <w:pPr>
        <w:pStyle w:val="ListParagraph"/>
        <w:numPr>
          <w:ilvl w:val="0"/>
          <w:numId w:val="4"/>
        </w:numPr>
        <w:rPr>
          <w:rFonts w:ascii="Arial" w:hAnsi="Arial" w:cs="Arial"/>
        </w:rPr>
      </w:pPr>
      <w:r w:rsidRPr="00DE2563">
        <w:rPr>
          <w:rFonts w:ascii="Arial" w:hAnsi="Arial" w:cs="Arial"/>
          <w:b/>
          <w:bCs/>
        </w:rPr>
        <w:t xml:space="preserve">Upgrades </w:t>
      </w:r>
      <w:r w:rsidRPr="00C417B2">
        <w:sym w:font="Wingdings" w:char="F0DF"/>
      </w:r>
      <w:r w:rsidRPr="00DE2563">
        <w:rPr>
          <w:rFonts w:ascii="Arial" w:hAnsi="Arial" w:cs="Arial"/>
        </w:rPr>
        <w:t xml:space="preserve"> </w:t>
      </w:r>
      <w:r w:rsidR="00DE2563" w:rsidRPr="005B67C3">
        <w:rPr>
          <w:rFonts w:ascii="Arial" w:hAnsi="Arial" w:cs="Arial"/>
          <w:color w:val="0F1115"/>
          <w:shd w:val="clear" w:color="auto" w:fill="FFFFFF"/>
        </w:rPr>
        <w:t xml:space="preserve">Discrete, large-scale interventions that reduce spill frequency for specific CSO catchments. Upgrade timing/location is determined by system-wide engineering and regulatory planning, not local </w:t>
      </w:r>
      <w:r w:rsidR="00DE2563">
        <w:rPr>
          <w:rFonts w:ascii="Arial" w:hAnsi="Arial" w:cs="Arial"/>
          <w:color w:val="0F1115"/>
          <w:shd w:val="clear" w:color="auto" w:fill="FFFFFF"/>
        </w:rPr>
        <w:t>spills often</w:t>
      </w:r>
      <w:r w:rsidR="00DE2563" w:rsidRPr="005B67C3">
        <w:rPr>
          <w:rFonts w:ascii="Arial" w:hAnsi="Arial" w:cs="Arial"/>
          <w:color w:val="0F1115"/>
          <w:shd w:val="clear" w:color="auto" w:fill="FFFFFF"/>
        </w:rPr>
        <w:t>.</w:t>
      </w:r>
      <w:r w:rsidR="00DE2563">
        <w:rPr>
          <w:rFonts w:ascii="Arial" w:hAnsi="Arial" w:cs="Arial"/>
          <w:color w:val="0F1115"/>
          <w:shd w:val="clear" w:color="auto" w:fill="FFFFFF"/>
        </w:rPr>
        <w:t xml:space="preserve"> </w:t>
      </w:r>
      <w:r w:rsidRPr="00DE2563">
        <w:rPr>
          <w:rFonts w:ascii="Arial" w:hAnsi="Arial" w:cs="Arial"/>
        </w:rPr>
        <w:t xml:space="preserve">CSOs upstream of Lee Tunnel vs downstream / outside catchment in 2016, South-bank CSOs draining to Crossness vs others in 2012-16, Deephams catchment vs adjacent catchments in 2011-17, Thames Tideway Tunnel ongoing. </w:t>
      </w:r>
    </w:p>
    <w:p w14:paraId="0397A4CD" w14:textId="77777777" w:rsidR="00EE57D7" w:rsidRDefault="00EE57D7" w:rsidP="00E56371">
      <w:pPr>
        <w:rPr>
          <w:rFonts w:ascii="Arial" w:hAnsi="Arial" w:cs="Arial"/>
          <w:b/>
          <w:bCs/>
        </w:rPr>
      </w:pPr>
    </w:p>
    <w:p w14:paraId="6A04AAA8" w14:textId="166A359E" w:rsidR="00E56371" w:rsidRDefault="00E56371" w:rsidP="00E56371">
      <w:pPr>
        <w:rPr>
          <w:rFonts w:ascii="Arial" w:hAnsi="Arial" w:cs="Arial"/>
        </w:rPr>
      </w:pPr>
      <w:r w:rsidRPr="00D01526">
        <w:rPr>
          <w:rFonts w:ascii="Arial" w:hAnsi="Arial" w:cs="Arial"/>
          <w:b/>
          <w:bCs/>
        </w:rPr>
        <w:t>H</w:t>
      </w:r>
      <w:r>
        <w:rPr>
          <w:rFonts w:ascii="Arial" w:hAnsi="Arial" w:cs="Arial"/>
          <w:b/>
          <w:bCs/>
        </w:rPr>
        <w:t>istoric h</w:t>
      </w:r>
      <w:r w:rsidRPr="00D01526">
        <w:rPr>
          <w:rFonts w:ascii="Arial" w:hAnsi="Arial" w:cs="Arial"/>
          <w:b/>
          <w:bCs/>
        </w:rPr>
        <w:t>ydraulic</w:t>
      </w:r>
      <w:r>
        <w:rPr>
          <w:rFonts w:ascii="Arial" w:hAnsi="Arial" w:cs="Arial"/>
          <w:b/>
          <w:bCs/>
        </w:rPr>
        <w:t xml:space="preserve"> engineering</w:t>
      </w:r>
      <w:r w:rsidRPr="00D01526">
        <w:rPr>
          <w:rFonts w:ascii="Arial" w:hAnsi="Arial" w:cs="Arial"/>
          <w:b/>
          <w:bCs/>
        </w:rPr>
        <w:t xml:space="preserve"> design</w:t>
      </w:r>
    </w:p>
    <w:p w14:paraId="5013E6B1" w14:textId="77777777" w:rsidR="00E56371" w:rsidRDefault="00E56371" w:rsidP="00E56371">
      <w:pPr>
        <w:rPr>
          <w:rFonts w:ascii="Arial" w:hAnsi="Arial" w:cs="Arial"/>
        </w:rPr>
      </w:pPr>
      <w:r>
        <w:rPr>
          <w:rFonts w:ascii="Arial" w:hAnsi="Arial" w:cs="Arial"/>
        </w:rPr>
        <w:t xml:space="preserve">Historical lock-in as the system and its pinch points for spillage are inherited. </w:t>
      </w:r>
    </w:p>
    <w:p w14:paraId="2685F137" w14:textId="77777777" w:rsidR="00E56371" w:rsidRDefault="00E56371" w:rsidP="00E56371">
      <w:pPr>
        <w:rPr>
          <w:rFonts w:ascii="Arial" w:hAnsi="Arial" w:cs="Arial"/>
        </w:rPr>
      </w:pPr>
    </w:p>
    <w:p w14:paraId="7B838772" w14:textId="77777777" w:rsidR="00E56371" w:rsidRPr="00540E17" w:rsidRDefault="00E56371" w:rsidP="00E56371">
      <w:pPr>
        <w:pStyle w:val="ListParagraph"/>
        <w:numPr>
          <w:ilvl w:val="0"/>
          <w:numId w:val="1"/>
        </w:numPr>
        <w:rPr>
          <w:rFonts w:ascii="Arial" w:hAnsi="Arial" w:cs="Arial"/>
          <w:b/>
          <w:bCs/>
        </w:rPr>
      </w:pPr>
      <w:r w:rsidRPr="00540E17">
        <w:rPr>
          <w:rFonts w:ascii="Arial" w:hAnsi="Arial" w:cs="Arial"/>
          <w:b/>
          <w:bCs/>
        </w:rPr>
        <w:t>Deviations of Sewer Path</w:t>
      </w:r>
      <w:r>
        <w:rPr>
          <w:rFonts w:ascii="Arial" w:hAnsi="Arial" w:cs="Arial"/>
          <w:b/>
          <w:bCs/>
        </w:rPr>
        <w:t xml:space="preserve"> from Shortest Distance</w:t>
      </w:r>
    </w:p>
    <w:p w14:paraId="7FF010A7" w14:textId="77777777" w:rsidR="00E56371" w:rsidRDefault="00E56371" w:rsidP="00E56371">
      <w:pPr>
        <w:rPr>
          <w:rFonts w:ascii="Arial" w:hAnsi="Arial" w:cs="Arial"/>
          <w:color w:val="0F1115"/>
          <w:shd w:val="clear" w:color="auto" w:fill="FFFFFF"/>
        </w:rPr>
      </w:pPr>
      <w:r>
        <w:rPr>
          <w:rFonts w:ascii="Arial" w:hAnsi="Arial" w:cs="Arial"/>
        </w:rPr>
        <w:t>C</w:t>
      </w:r>
      <w:r w:rsidRPr="00D01526">
        <w:rPr>
          <w:rFonts w:ascii="Arial" w:hAnsi="Arial" w:cs="Arial"/>
          <w:color w:val="0F1115"/>
          <w:shd w:val="clear" w:color="auto" w:fill="FFFFFF"/>
        </w:rPr>
        <w:t>hosen sewer path often deviated from the hydrological ideal to avoid expensive land acquisition, tunnelling, or crossing obstacles</w:t>
      </w:r>
      <w:r>
        <w:rPr>
          <w:rFonts w:ascii="Arial" w:hAnsi="Arial" w:cs="Arial"/>
          <w:color w:val="0F1115"/>
          <w:shd w:val="clear" w:color="auto" w:fill="FFFFFF"/>
        </w:rPr>
        <w:t xml:space="preserve">. </w:t>
      </w:r>
    </w:p>
    <w:p w14:paraId="37BBDA9E" w14:textId="77777777" w:rsidR="00E56371" w:rsidRDefault="00E56371" w:rsidP="00E56371">
      <w:pPr>
        <w:rPr>
          <w:rFonts w:ascii="Arial" w:hAnsi="Arial" w:cs="Arial"/>
          <w:color w:val="0F1115"/>
          <w:shd w:val="clear" w:color="auto" w:fill="FFFFFF"/>
        </w:rPr>
      </w:pPr>
    </w:p>
    <w:p w14:paraId="39F471DC" w14:textId="0D3F277D" w:rsidR="0014757E" w:rsidRDefault="00E56371" w:rsidP="00E56371">
      <w:pPr>
        <w:rPr>
          <w:rFonts w:ascii="Arial" w:hAnsi="Arial" w:cs="Arial"/>
          <w:color w:val="0F1115"/>
          <w:shd w:val="clear" w:color="auto" w:fill="FFFFFF"/>
        </w:rPr>
      </w:pPr>
      <w:r w:rsidRPr="00D01526">
        <w:rPr>
          <w:rFonts w:ascii="Arial" w:hAnsi="Arial" w:cs="Arial"/>
          <w:color w:val="0F1115"/>
          <w:shd w:val="clear" w:color="auto" w:fill="FFFFFF"/>
        </w:rPr>
        <w:t xml:space="preserve">For a given </w:t>
      </w:r>
      <w:r w:rsidR="00E40FA1">
        <w:rPr>
          <w:rFonts w:ascii="Arial" w:hAnsi="Arial" w:cs="Arial"/>
          <w:color w:val="0F1115"/>
          <w:shd w:val="clear" w:color="auto" w:fill="FFFFFF"/>
        </w:rPr>
        <w:t>CSO</w:t>
      </w:r>
      <w:r w:rsidRPr="00D01526">
        <w:rPr>
          <w:rFonts w:ascii="Arial" w:hAnsi="Arial" w:cs="Arial"/>
          <w:color w:val="0F1115"/>
          <w:shd w:val="clear" w:color="auto" w:fill="FFFFFF"/>
        </w:rPr>
        <w:t xml:space="preserve">, </w:t>
      </w:r>
      <w:r w:rsidR="00E40FA1">
        <w:rPr>
          <w:rFonts w:ascii="Arial" w:hAnsi="Arial" w:cs="Arial"/>
          <w:color w:val="0F1115"/>
          <w:shd w:val="clear" w:color="auto" w:fill="FFFFFF"/>
        </w:rPr>
        <w:t xml:space="preserve">the start point is the most upstream point of the historic sewer that feeds into the CSO and the end point is its outfall location. Then can </w:t>
      </w:r>
      <w:r w:rsidRPr="00D01526">
        <w:rPr>
          <w:rFonts w:ascii="Arial" w:hAnsi="Arial" w:cs="Arial"/>
          <w:color w:val="0F1115"/>
          <w:shd w:val="clear" w:color="auto" w:fill="FFFFFF"/>
        </w:rPr>
        <w:t>calculate the</w:t>
      </w:r>
      <w:r>
        <w:rPr>
          <w:rFonts w:ascii="Arial" w:hAnsi="Arial" w:cs="Arial"/>
          <w:color w:val="0F1115"/>
          <w:shd w:val="clear" w:color="auto" w:fill="FFFFFF"/>
        </w:rPr>
        <w:t xml:space="preserve"> ratio of actual length </w:t>
      </w:r>
      <w:r w:rsidR="00E40FA1">
        <w:rPr>
          <w:rFonts w:ascii="Arial" w:hAnsi="Arial" w:cs="Arial"/>
          <w:color w:val="0F1115"/>
          <w:shd w:val="clear" w:color="auto" w:fill="FFFFFF"/>
        </w:rPr>
        <w:t xml:space="preserve">of the sewer line </w:t>
      </w:r>
      <w:r>
        <w:rPr>
          <w:rFonts w:ascii="Arial" w:hAnsi="Arial" w:cs="Arial"/>
          <w:color w:val="0F1115"/>
          <w:shd w:val="clear" w:color="auto" w:fill="FFFFFF"/>
        </w:rPr>
        <w:t xml:space="preserve">to </w:t>
      </w:r>
      <w:r w:rsidR="00E40FA1">
        <w:rPr>
          <w:rFonts w:ascii="Arial" w:hAnsi="Arial" w:cs="Arial"/>
          <w:color w:val="0F1115"/>
          <w:shd w:val="clear" w:color="auto" w:fill="FFFFFF"/>
        </w:rPr>
        <w:t xml:space="preserve">the </w:t>
      </w:r>
      <w:r>
        <w:rPr>
          <w:rFonts w:ascii="Arial" w:hAnsi="Arial" w:cs="Arial"/>
          <w:color w:val="0F1115"/>
          <w:shd w:val="clear" w:color="auto" w:fill="FFFFFF"/>
        </w:rPr>
        <w:t>straight line</w:t>
      </w:r>
      <w:r w:rsidR="00E40FA1">
        <w:rPr>
          <w:rFonts w:ascii="Arial" w:hAnsi="Arial" w:cs="Arial"/>
          <w:color w:val="0F1115"/>
          <w:shd w:val="clear" w:color="auto" w:fill="FFFFFF"/>
        </w:rPr>
        <w:t xml:space="preserve"> (geodesic)</w:t>
      </w:r>
      <w:r>
        <w:rPr>
          <w:rFonts w:ascii="Arial" w:hAnsi="Arial" w:cs="Arial"/>
          <w:color w:val="0F1115"/>
          <w:shd w:val="clear" w:color="auto" w:fill="FFFFFF"/>
        </w:rPr>
        <w:t xml:space="preserve"> distance </w:t>
      </w:r>
      <w:r w:rsidRPr="00D01526">
        <w:rPr>
          <w:rFonts w:ascii="Arial" w:hAnsi="Arial" w:cs="Arial"/>
          <w:color w:val="0F1115"/>
          <w:shd w:val="clear" w:color="auto" w:fill="FFFFFF"/>
        </w:rPr>
        <w:lastRenderedPageBreak/>
        <w:t>between its start and end points. A higher ratio indicates a more circuitous, potentially cost-constrained route</w:t>
      </w:r>
      <w:r>
        <w:rPr>
          <w:rFonts w:ascii="Arial" w:hAnsi="Arial" w:cs="Arial"/>
          <w:color w:val="0F1115"/>
          <w:shd w:val="clear" w:color="auto" w:fill="FFFFFF"/>
        </w:rPr>
        <w:t xml:space="preserve"> that </w:t>
      </w:r>
      <w:r w:rsidRPr="00D01526">
        <w:rPr>
          <w:rFonts w:ascii="Arial" w:hAnsi="Arial" w:cs="Arial"/>
          <w:color w:val="0F1115"/>
          <w:shd w:val="clear" w:color="auto" w:fill="FFFFFF"/>
        </w:rPr>
        <w:t>could lead to suboptimal hydraulic performance (e.g., slower flow, more frequent blockages/surcharge) in the modern system, contributing to spill frequency.</w:t>
      </w:r>
      <w:r>
        <w:rPr>
          <w:rFonts w:ascii="Arial" w:hAnsi="Arial" w:cs="Arial"/>
          <w:color w:val="0F1115"/>
          <w:shd w:val="clear" w:color="auto" w:fill="FFFFFF"/>
        </w:rPr>
        <w:t xml:space="preserve"> </w:t>
      </w:r>
      <w:r w:rsidR="0014757E" w:rsidRPr="0014757E">
        <w:rPr>
          <w:rFonts w:ascii="Arial" w:hAnsi="Arial" w:cs="Arial"/>
          <w:color w:val="0F1115"/>
          <w:shd w:val="clear" w:color="auto" w:fill="FFFFFF"/>
        </w:rPr>
        <w:t>The deviation (Circuitousness &gt; 1) was caused by Victorian engineers avoiding a hill, an expensive estate, or following a property line.</w:t>
      </w:r>
      <w:r w:rsidR="0014757E">
        <w:rPr>
          <w:rFonts w:ascii="Segoe UI" w:hAnsi="Segoe UI" w:cs="Segoe UI"/>
          <w:color w:val="0F1115"/>
          <w:shd w:val="clear" w:color="auto" w:fill="FFFFFF"/>
        </w:rPr>
        <w:t> </w:t>
      </w:r>
    </w:p>
    <w:p w14:paraId="3CBEB44B" w14:textId="430F386C"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Flatter gradient, pumped section, pipe diameter, upstream population (London used census data), upstream number of major tributary junctions per mile of sewer (more on these in 2).</w:t>
      </w:r>
    </w:p>
    <w:p w14:paraId="7B17735D" w14:textId="77777777" w:rsidR="00E56371" w:rsidRDefault="00E56371" w:rsidP="00E56371">
      <w:pPr>
        <w:rPr>
          <w:rFonts w:ascii="Arial" w:hAnsi="Arial" w:cs="Arial"/>
          <w:color w:val="0F1115"/>
          <w:shd w:val="clear" w:color="auto" w:fill="FFFFFF"/>
        </w:rPr>
      </w:pPr>
    </w:p>
    <w:p w14:paraId="3638D47C" w14:textId="74E80D38"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What can be constructed with existing data? Circuitousness, gradient, </w:t>
      </w:r>
      <w:r w:rsidR="0014757E">
        <w:rPr>
          <w:rFonts w:ascii="Arial" w:hAnsi="Arial" w:cs="Arial"/>
          <w:color w:val="0F1115"/>
          <w:shd w:val="clear" w:color="auto" w:fill="FFFFFF"/>
        </w:rPr>
        <w:t xml:space="preserve">junction density, </w:t>
      </w:r>
      <w:r>
        <w:rPr>
          <w:rFonts w:ascii="Arial" w:hAnsi="Arial" w:cs="Arial"/>
          <w:color w:val="0F1115"/>
          <w:shd w:val="clear" w:color="auto" w:fill="FFFFFF"/>
        </w:rPr>
        <w:t>population pressure.</w:t>
      </w:r>
    </w:p>
    <w:p w14:paraId="3D3C6E04" w14:textId="76EBADE0"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Circuitousness</w:t>
      </w:r>
      <w:r>
        <w:rPr>
          <w:rFonts w:ascii="Arial" w:hAnsi="Arial" w:cs="Arial"/>
          <w:color w:val="0F1115"/>
          <w:shd w:val="clear" w:color="auto" w:fill="FFFFFF"/>
        </w:rPr>
        <w:t xml:space="preserve"> from sewer</w:t>
      </w:r>
      <w:r w:rsidR="00803DB3">
        <w:rPr>
          <w:rFonts w:ascii="Arial" w:hAnsi="Arial" w:cs="Arial"/>
          <w:color w:val="0F1115"/>
          <w:shd w:val="clear" w:color="auto" w:fill="FFFFFF"/>
        </w:rPr>
        <w:t xml:space="preserve"> to CSO</w:t>
      </w:r>
      <w:r>
        <w:rPr>
          <w:rFonts w:ascii="Arial" w:hAnsi="Arial" w:cs="Arial"/>
          <w:color w:val="0F1115"/>
          <w:shd w:val="clear" w:color="auto" w:fill="FFFFFF"/>
        </w:rPr>
        <w:t xml:space="preserve"> paths</w:t>
      </w:r>
      <w:r w:rsidR="00803DB3">
        <w:rPr>
          <w:rFonts w:ascii="Arial" w:hAnsi="Arial" w:cs="Arial"/>
          <w:color w:val="0F1115"/>
          <w:shd w:val="clear" w:color="auto" w:fill="FFFFFF"/>
        </w:rPr>
        <w:t xml:space="preserve"> (historic maps OS/MBW and where missing would</w:t>
      </w:r>
      <w:r>
        <w:rPr>
          <w:rFonts w:ascii="Arial" w:hAnsi="Arial" w:cs="Arial"/>
          <w:color w:val="0F1115"/>
          <w:shd w:val="clear" w:color="auto" w:fill="FFFFFF"/>
        </w:rPr>
        <w:t xml:space="preserve"> tend to follow natural/buried rivers and streams </w:t>
      </w:r>
      <w:r w:rsidR="00803DB3">
        <w:rPr>
          <w:rFonts w:ascii="Arial" w:hAnsi="Arial" w:cs="Arial"/>
          <w:color w:val="0F1115"/>
          <w:shd w:val="clear" w:color="auto" w:fill="FFFFFF"/>
        </w:rPr>
        <w:t xml:space="preserve">that can be also got </w:t>
      </w:r>
      <w:r>
        <w:rPr>
          <w:rFonts w:ascii="Arial" w:hAnsi="Arial" w:cs="Arial"/>
          <w:color w:val="0F1115"/>
          <w:shd w:val="clear" w:color="auto" w:fill="FFFFFF"/>
        </w:rPr>
        <w:t xml:space="preserve">from Ordnance Survey Open Rivers and OS OpenMap Local for waterlines/course and rivers/streams). </w:t>
      </w:r>
    </w:p>
    <w:p w14:paraId="5255688B" w14:textId="77777777"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 xml:space="preserve">Gradient </w:t>
      </w:r>
      <w:r>
        <w:rPr>
          <w:rFonts w:ascii="Arial" w:hAnsi="Arial" w:cs="Arial"/>
          <w:color w:val="0F1115"/>
          <w:shd w:val="clear" w:color="auto" w:fill="FFFFFF"/>
        </w:rPr>
        <w:t>needs start and end points of sewer (OS Terrain 50 and LIDAR for topography)</w:t>
      </w:r>
    </w:p>
    <w:p w14:paraId="55F87A45" w14:textId="330528AE" w:rsidR="00803DB3" w:rsidRDefault="00803DB3" w:rsidP="00E56371">
      <w:pPr>
        <w:rPr>
          <w:rFonts w:ascii="Arial" w:hAnsi="Arial" w:cs="Arial"/>
          <w:color w:val="0F1115"/>
          <w:shd w:val="clear" w:color="auto" w:fill="FFFFFF"/>
        </w:rPr>
      </w:pPr>
      <w:r w:rsidRPr="00FF668F">
        <w:rPr>
          <w:rFonts w:ascii="Arial" w:hAnsi="Arial" w:cs="Arial"/>
          <w:b/>
          <w:bCs/>
          <w:color w:val="0F1115"/>
          <w:shd w:val="clear" w:color="auto" w:fill="FFFFFF"/>
        </w:rPr>
        <w:t>Junction Density</w:t>
      </w:r>
      <w:r>
        <w:rPr>
          <w:rFonts w:ascii="Arial" w:hAnsi="Arial" w:cs="Arial"/>
          <w:color w:val="0F1115"/>
          <w:shd w:val="clear" w:color="auto" w:fill="FFFFFF"/>
        </w:rPr>
        <w:t xml:space="preserve"> </w:t>
      </w:r>
      <w:r w:rsidR="00FF668F">
        <w:rPr>
          <w:rFonts w:ascii="Arial" w:hAnsi="Arial" w:cs="Arial"/>
          <w:color w:val="0F1115"/>
          <w:shd w:val="clear" w:color="auto" w:fill="FFFFFF"/>
        </w:rPr>
        <w:t xml:space="preserve">or junctions per km </w:t>
      </w:r>
      <w:r>
        <w:rPr>
          <w:rFonts w:ascii="Arial" w:hAnsi="Arial" w:cs="Arial"/>
          <w:color w:val="0F1115"/>
          <w:shd w:val="clear" w:color="auto" w:fill="FFFFFF"/>
        </w:rPr>
        <w:t xml:space="preserve">of CSO catchment </w:t>
      </w:r>
      <w:r w:rsidR="00FF668F">
        <w:rPr>
          <w:rFonts w:ascii="Arial" w:hAnsi="Arial" w:cs="Arial"/>
          <w:color w:val="0F1115"/>
          <w:shd w:val="clear" w:color="auto" w:fill="FFFFFF"/>
        </w:rPr>
        <w:t>(</w:t>
      </w:r>
      <w:r>
        <w:rPr>
          <w:rFonts w:ascii="Arial" w:hAnsi="Arial" w:cs="Arial"/>
          <w:color w:val="0F1115"/>
          <w:shd w:val="clear" w:color="auto" w:fill="FFFFFF"/>
        </w:rPr>
        <w:t>where two or more sewer</w:t>
      </w:r>
      <w:r w:rsidR="00FF668F">
        <w:rPr>
          <w:rFonts w:ascii="Arial" w:hAnsi="Arial" w:cs="Arial"/>
          <w:color w:val="0F1115"/>
          <w:shd w:val="clear" w:color="auto" w:fill="FFFFFF"/>
        </w:rPr>
        <w:t xml:space="preserve"> line</w:t>
      </w:r>
      <w:r>
        <w:rPr>
          <w:rFonts w:ascii="Arial" w:hAnsi="Arial" w:cs="Arial"/>
          <w:color w:val="0F1115"/>
          <w:shd w:val="clear" w:color="auto" w:fill="FFFFFF"/>
        </w:rPr>
        <w:t>s meet</w:t>
      </w:r>
      <w:r w:rsidR="00FF668F">
        <w:rPr>
          <w:rFonts w:ascii="Arial" w:hAnsi="Arial" w:cs="Arial"/>
          <w:color w:val="0F1115"/>
          <w:shd w:val="clear" w:color="auto" w:fill="FFFFFF"/>
        </w:rPr>
        <w:t>)</w:t>
      </w:r>
    </w:p>
    <w:p w14:paraId="7431CE30" w14:textId="7E5054B2" w:rsidR="00FF668F" w:rsidRDefault="00FF668F" w:rsidP="00E56371">
      <w:pPr>
        <w:rPr>
          <w:rFonts w:ascii="Arial" w:hAnsi="Arial" w:cs="Arial"/>
          <w:color w:val="0F1115"/>
          <w:shd w:val="clear" w:color="auto" w:fill="FFFFFF"/>
        </w:rPr>
      </w:pPr>
      <w:r w:rsidRPr="00FF668F">
        <w:rPr>
          <w:rFonts w:ascii="Arial" w:hAnsi="Arial" w:cs="Arial"/>
          <w:b/>
          <w:bCs/>
          <w:color w:val="0F1115"/>
          <w:shd w:val="clear" w:color="auto" w:fill="FFFFFF"/>
        </w:rPr>
        <w:t>Network Topology</w:t>
      </w:r>
      <w:r>
        <w:rPr>
          <w:rFonts w:ascii="Arial" w:hAnsi="Arial" w:cs="Arial"/>
          <w:color w:val="0F1115"/>
          <w:shd w:val="clear" w:color="auto" w:fill="FFFFFF"/>
        </w:rPr>
        <w:t xml:space="preserve"> (if needed) can be arrived at if can identify main trucks versus branches, such as number of child pipes per parent pipe, total pipe length to catchment area. </w:t>
      </w:r>
    </w:p>
    <w:p w14:paraId="31987536" w14:textId="77777777"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Historical population</w:t>
      </w:r>
      <w:r>
        <w:rPr>
          <w:rFonts w:ascii="Arial" w:hAnsi="Arial" w:cs="Arial"/>
          <w:color w:val="0F1115"/>
          <w:shd w:val="clear" w:color="auto" w:fill="FFFFFF"/>
        </w:rPr>
        <w:t xml:space="preserve"> needs old censuses (eg Bazalgette mentions using census tracts in MBW) and catchment boundaries to define the area whose runoff feeds each CSO</w:t>
      </w:r>
    </w:p>
    <w:p w14:paraId="40D574DB" w14:textId="77777777" w:rsidR="00E56371" w:rsidRDefault="00E56371" w:rsidP="00E56371">
      <w:pPr>
        <w:rPr>
          <w:rFonts w:ascii="Arial" w:hAnsi="Arial" w:cs="Arial"/>
          <w:color w:val="0F1115"/>
          <w:shd w:val="clear" w:color="auto" w:fill="FFFFFF"/>
        </w:rPr>
      </w:pPr>
    </w:p>
    <w:p w14:paraId="0B172888" w14:textId="77777777" w:rsidR="0014757E"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Catchment + </w:t>
      </w:r>
      <w:r w:rsidR="0014757E">
        <w:rPr>
          <w:rFonts w:ascii="Arial" w:hAnsi="Arial" w:cs="Arial"/>
          <w:color w:val="0F1115"/>
          <w:shd w:val="clear" w:color="auto" w:fill="FFFFFF"/>
        </w:rPr>
        <w:t>Sewer</w:t>
      </w:r>
      <w:r>
        <w:rPr>
          <w:rFonts w:ascii="Arial" w:hAnsi="Arial" w:cs="Arial"/>
          <w:color w:val="0F1115"/>
          <w:shd w:val="clear" w:color="auto" w:fill="FFFFFF"/>
        </w:rPr>
        <w:t xml:space="preserve"> path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w:t>
      </w:r>
    </w:p>
    <w:p w14:paraId="036E8C76" w14:textId="7D992C05" w:rsidR="0014757E" w:rsidRDefault="00E56371" w:rsidP="00E56371">
      <w:pPr>
        <w:rPr>
          <w:rFonts w:ascii="Arial" w:hAnsi="Arial" w:cs="Arial"/>
          <w:color w:val="0F1115"/>
          <w:shd w:val="clear" w:color="auto" w:fill="FFFFFF"/>
        </w:rPr>
      </w:pPr>
      <w:r>
        <w:rPr>
          <w:rFonts w:ascii="Arial" w:hAnsi="Arial" w:cs="Arial"/>
          <w:color w:val="0F1115"/>
          <w:shd w:val="clear" w:color="auto" w:fill="FFFFFF"/>
        </w:rPr>
        <w:t>Circuitousness = Length from head of catchment to CSO</w:t>
      </w:r>
      <w:r w:rsidR="00E40FA1">
        <w:rPr>
          <w:rFonts w:ascii="Arial" w:hAnsi="Arial" w:cs="Arial"/>
          <w:color w:val="0F1115"/>
          <w:shd w:val="clear" w:color="auto" w:fill="FFFFFF"/>
        </w:rPr>
        <w:t xml:space="preserve"> outfall</w:t>
      </w:r>
      <w:r>
        <w:rPr>
          <w:rFonts w:ascii="Arial" w:hAnsi="Arial" w:cs="Arial"/>
          <w:color w:val="0F1115"/>
          <w:shd w:val="clear" w:color="auto" w:fill="FFFFFF"/>
        </w:rPr>
        <w:t xml:space="preserve"> versus Straight-line distance, </w:t>
      </w:r>
    </w:p>
    <w:p w14:paraId="57F0C009" w14:textId="23E70451"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Gradient = Start point</w:t>
      </w:r>
      <w:r w:rsidR="0014757E">
        <w:rPr>
          <w:rFonts w:ascii="Arial" w:hAnsi="Arial" w:cs="Arial"/>
          <w:color w:val="0F1115"/>
          <w:shd w:val="clear" w:color="auto" w:fill="FFFFFF"/>
        </w:rPr>
        <w:t xml:space="preserve"> </w:t>
      </w:r>
      <w:r>
        <w:rPr>
          <w:rFonts w:ascii="Arial" w:hAnsi="Arial" w:cs="Arial"/>
          <w:color w:val="0F1115"/>
          <w:shd w:val="clear" w:color="auto" w:fill="FFFFFF"/>
        </w:rPr>
        <w:t>of CSO to End point of CSO / Length of path</w:t>
      </w:r>
      <w:r w:rsidR="0014757E">
        <w:rPr>
          <w:rFonts w:ascii="Arial" w:hAnsi="Arial" w:cs="Arial"/>
          <w:color w:val="0F1115"/>
          <w:shd w:val="clear" w:color="auto" w:fill="FFFFFF"/>
        </w:rPr>
        <w:t xml:space="preserve"> between these two points</w:t>
      </w:r>
    </w:p>
    <w:p w14:paraId="4A04083D" w14:textId="05500918"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 Historical population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Capacity Pressure = Historical Population / Catchment Area</w:t>
      </w:r>
    </w:p>
    <w:p w14:paraId="17BCE660" w14:textId="77777777" w:rsidR="00E56371" w:rsidRDefault="00E56371" w:rsidP="00E56371">
      <w:pPr>
        <w:rPr>
          <w:rFonts w:ascii="Arial" w:hAnsi="Arial" w:cs="Arial"/>
          <w:color w:val="0F1115"/>
          <w:shd w:val="clear" w:color="auto" w:fill="FFFFFF"/>
        </w:rPr>
      </w:pPr>
    </w:p>
    <w:p w14:paraId="44DEBF06" w14:textId="224E163A" w:rsidR="00E56371" w:rsidRPr="00540E17" w:rsidRDefault="001E1063" w:rsidP="00E56371">
      <w:pPr>
        <w:rPr>
          <w:rFonts w:ascii="Arial" w:hAnsi="Arial" w:cs="Arial"/>
          <w:color w:val="0F1115"/>
          <w:shd w:val="clear" w:color="auto" w:fill="FFFFFF"/>
        </w:rPr>
      </w:pPr>
      <w:r>
        <w:rPr>
          <w:rFonts w:ascii="Arial" w:hAnsi="Arial" w:cs="Arial"/>
          <w:color w:val="0F1115"/>
          <w:shd w:val="clear" w:color="auto" w:fill="FFFFFF"/>
        </w:rPr>
        <w:t xml:space="preserve">Expect that </w:t>
      </w:r>
      <w:r w:rsidR="00E56371" w:rsidRPr="00540E17">
        <w:rPr>
          <w:rFonts w:ascii="Arial" w:hAnsi="Arial" w:cs="Arial"/>
          <w:color w:val="0F1115"/>
          <w:shd w:val="clear" w:color="auto" w:fill="FFFFFF"/>
        </w:rPr>
        <w:t xml:space="preserve">CSOs in the flat, lower Thames floodplain (e.g., Bermondsey) should have very low gradients. CSOs on the steeper slopes of North London (Hampstead) should have higher gradients. </w:t>
      </w:r>
    </w:p>
    <w:p w14:paraId="30533454" w14:textId="77777777" w:rsidR="00E56371" w:rsidRDefault="00E56371" w:rsidP="00E56371">
      <w:pPr>
        <w:rPr>
          <w:rFonts w:ascii="Arial" w:hAnsi="Arial" w:cs="Arial"/>
          <w:color w:val="0F1115"/>
          <w:shd w:val="clear" w:color="auto" w:fill="FFFFFF"/>
        </w:rPr>
      </w:pPr>
    </w:p>
    <w:p w14:paraId="030B4A9E" w14:textId="77777777" w:rsidR="00E56371" w:rsidRPr="00CF50A2" w:rsidRDefault="00E56371" w:rsidP="00E56371">
      <w:pPr>
        <w:pStyle w:val="ListParagraph"/>
        <w:numPr>
          <w:ilvl w:val="0"/>
          <w:numId w:val="1"/>
        </w:numPr>
        <w:rPr>
          <w:rFonts w:ascii="Arial" w:hAnsi="Arial" w:cs="Arial"/>
          <w:b/>
          <w:bCs/>
          <w:color w:val="0F1115"/>
          <w:shd w:val="clear" w:color="auto" w:fill="FFFFFF"/>
        </w:rPr>
      </w:pPr>
      <w:r w:rsidRPr="00CF50A2">
        <w:rPr>
          <w:rFonts w:ascii="Arial" w:hAnsi="Arial" w:cs="Arial"/>
          <w:b/>
          <w:bCs/>
          <w:color w:val="0F1115"/>
          <w:shd w:val="clear" w:color="auto" w:fill="FFFFFF"/>
        </w:rPr>
        <w:t xml:space="preserve">Hydraulic engineering </w:t>
      </w:r>
      <w:r>
        <w:rPr>
          <w:rFonts w:ascii="Arial" w:hAnsi="Arial" w:cs="Arial"/>
          <w:b/>
          <w:bCs/>
          <w:color w:val="0F1115"/>
          <w:shd w:val="clear" w:color="auto" w:fill="FFFFFF"/>
        </w:rPr>
        <w:t>pinch points</w:t>
      </w:r>
    </w:p>
    <w:p w14:paraId="633A498A" w14:textId="77777777" w:rsidR="00E56371" w:rsidRDefault="00E56371" w:rsidP="00E56371">
      <w:pPr>
        <w:rPr>
          <w:rFonts w:ascii="Arial" w:hAnsi="Arial" w:cs="Arial"/>
          <w:color w:val="0F1115"/>
          <w:shd w:val="clear" w:color="auto" w:fill="FFFFFF"/>
        </w:rPr>
      </w:pPr>
    </w:p>
    <w:p w14:paraId="4E24318A" w14:textId="77777777" w:rsidR="00E56371" w:rsidRPr="00926A7F" w:rsidRDefault="00E56371" w:rsidP="00E56371">
      <w:pPr>
        <w:rPr>
          <w:rFonts w:ascii="Arial" w:hAnsi="Arial" w:cs="Arial"/>
        </w:rPr>
      </w:pPr>
      <w:r w:rsidRPr="00926A7F">
        <w:rPr>
          <w:rFonts w:ascii="Arial" w:hAnsi="Arial" w:cs="Arial"/>
          <w:color w:val="0F1115"/>
          <w:shd w:val="clear" w:color="auto" w:fill="FFFFFF"/>
        </w:rPr>
        <w:t>Hydraulic constraints are inherited from historical network design and affect spill probability, but are not salient to modern buyers except via spill risk.</w:t>
      </w:r>
    </w:p>
    <w:p w14:paraId="5D8D5605" w14:textId="77777777" w:rsidR="00E56371" w:rsidRPr="00D01526" w:rsidRDefault="00E56371" w:rsidP="00E56371">
      <w:pPr>
        <w:rPr>
          <w:rFonts w:ascii="Arial" w:hAnsi="Arial" w:cs="Arial"/>
        </w:rPr>
      </w:pPr>
    </w:p>
    <w:p w14:paraId="1229E452" w14:textId="77777777" w:rsidR="00E56371" w:rsidRDefault="00E56371" w:rsidP="00E56371">
      <w:pPr>
        <w:rPr>
          <w:rFonts w:ascii="Arial" w:hAnsi="Arial" w:cs="Arial"/>
        </w:rPr>
      </w:pPr>
      <w:r>
        <w:rPr>
          <w:rFonts w:ascii="Arial" w:hAnsi="Arial" w:cs="Arial"/>
        </w:rPr>
        <w:t>P</w:t>
      </w:r>
      <w:r w:rsidRPr="00C417B2">
        <w:rPr>
          <w:rFonts w:ascii="Arial" w:hAnsi="Arial" w:cs="Arial"/>
        </w:rPr>
        <w:t>ipe capacity (diameter, invert level</w:t>
      </w:r>
      <w:r>
        <w:rPr>
          <w:rFonts w:ascii="Arial" w:hAnsi="Arial" w:cs="Arial"/>
        </w:rPr>
        <w:t xml:space="preserve"> or depth, invert offsets</w:t>
      </w:r>
      <w:r w:rsidRPr="00C417B2">
        <w:rPr>
          <w:rFonts w:ascii="Arial" w:hAnsi="Arial" w:cs="Arial"/>
        </w:rPr>
        <w:t>, slope,</w:t>
      </w:r>
      <w:r>
        <w:rPr>
          <w:rFonts w:ascii="Arial" w:hAnsi="Arial" w:cs="Arial"/>
        </w:rPr>
        <w:t xml:space="preserve"> </w:t>
      </w:r>
      <w:r w:rsidRPr="00C417B2">
        <w:rPr>
          <w:rFonts w:ascii="Arial" w:hAnsi="Arial" w:cs="Arial"/>
        </w:rPr>
        <w:t>material</w:t>
      </w:r>
      <w:r>
        <w:rPr>
          <w:rFonts w:ascii="Arial" w:hAnsi="Arial" w:cs="Arial"/>
        </w:rPr>
        <w:t xml:space="preserve"> or </w:t>
      </w:r>
      <w:r w:rsidRPr="00C417B2">
        <w:rPr>
          <w:rFonts w:ascii="Arial" w:hAnsi="Arial" w:cs="Arial"/>
        </w:rPr>
        <w:t>roughness</w:t>
      </w:r>
      <w:r>
        <w:rPr>
          <w:rFonts w:ascii="Arial" w:hAnsi="Arial" w:cs="Arial"/>
        </w:rPr>
        <w:t>, trunk line class—truck sewer/secondary sewer/house lateral</w:t>
      </w:r>
      <w:r w:rsidRPr="00C417B2">
        <w:rPr>
          <w:rFonts w:ascii="Arial" w:hAnsi="Arial" w:cs="Arial"/>
        </w:rPr>
        <w:t>)</w:t>
      </w:r>
      <w:r>
        <w:rPr>
          <w:rFonts w:ascii="Arial" w:hAnsi="Arial" w:cs="Arial"/>
        </w:rPr>
        <w:t xml:space="preserve">. Upstream population (and potential growth), </w:t>
      </w:r>
      <w:r w:rsidRPr="00C417B2">
        <w:rPr>
          <w:rFonts w:ascii="Arial" w:hAnsi="Arial" w:cs="Arial"/>
        </w:rPr>
        <w:t xml:space="preserve">upstream impervious area, hydraulic centrality (distance to treatment works, number of upstream nodes feeding into it, capital cost (depth to sewer, high groundwater levels, certain soft and permeable soil types, </w:t>
      </w:r>
      <w:r w:rsidRPr="00C417B2">
        <w:rPr>
          <w:rFonts w:ascii="Arial" w:hAnsi="Arial" w:cs="Arial"/>
        </w:rPr>
        <w:lastRenderedPageBreak/>
        <w:t>riverbank conditions including tidal conditions, diversions from other utilities</w:t>
      </w:r>
      <w:r>
        <w:rPr>
          <w:rFonts w:ascii="Arial" w:hAnsi="Arial" w:cs="Arial"/>
        </w:rPr>
        <w:t xml:space="preserve"> and rainfall (and forecasts) were accounted for in designing the system. </w:t>
      </w:r>
    </w:p>
    <w:p w14:paraId="6C28E3D8" w14:textId="77777777" w:rsidR="00E56371" w:rsidRDefault="00E56371" w:rsidP="00E56371">
      <w:pPr>
        <w:rPr>
          <w:rFonts w:ascii="Arial" w:hAnsi="Arial" w:cs="Arial"/>
          <w:shd w:val="clear" w:color="auto" w:fill="FFFFFF"/>
        </w:rPr>
      </w:pPr>
    </w:p>
    <w:p w14:paraId="77B9CF4D" w14:textId="77777777" w:rsidR="00E56371" w:rsidRDefault="00E56371" w:rsidP="00E56371">
      <w:pPr>
        <w:rPr>
          <w:rFonts w:ascii="Arial" w:hAnsi="Arial" w:cs="Arial"/>
        </w:rPr>
      </w:pPr>
      <w:r>
        <w:rPr>
          <w:rFonts w:ascii="Arial" w:hAnsi="Arial" w:cs="Arial"/>
        </w:rPr>
        <w:t>What we can get from the archives?</w:t>
      </w:r>
    </w:p>
    <w:p w14:paraId="54A9BD35" w14:textId="3492FD6E" w:rsidR="00E12C43" w:rsidRDefault="00E12C43" w:rsidP="00E56371">
      <w:pPr>
        <w:rPr>
          <w:rFonts w:ascii="Arial" w:hAnsi="Arial" w:cs="Arial"/>
        </w:rPr>
      </w:pPr>
      <w:r>
        <w:rPr>
          <w:rFonts w:ascii="Arial" w:hAnsi="Arial" w:cs="Arial"/>
        </w:rPr>
        <w:t>Original proposed route (Bazalgette) v Actual As-Built route</w:t>
      </w:r>
    </w:p>
    <w:p w14:paraId="2E52A426" w14:textId="1BE3C529" w:rsidR="00E56371" w:rsidRDefault="00E56371" w:rsidP="00E56371">
      <w:pPr>
        <w:rPr>
          <w:rFonts w:ascii="Arial" w:hAnsi="Arial" w:cs="Arial"/>
          <w:shd w:val="clear" w:color="auto" w:fill="FFFFFF"/>
        </w:rPr>
      </w:pPr>
      <w:r>
        <w:rPr>
          <w:rFonts w:ascii="Arial" w:hAnsi="Arial" w:cs="Arial"/>
        </w:rPr>
        <w:t>H</w:t>
      </w:r>
      <w:r w:rsidRPr="00F05218">
        <w:rPr>
          <w:rFonts w:ascii="Arial" w:hAnsi="Arial" w:cs="Arial"/>
        </w:rPr>
        <w:t xml:space="preserve">istoric drawings to obtain </w:t>
      </w:r>
      <w:r>
        <w:rPr>
          <w:rFonts w:ascii="Arial" w:hAnsi="Arial" w:cs="Arial"/>
        </w:rPr>
        <w:t xml:space="preserve">pipe </w:t>
      </w:r>
      <w:r w:rsidRPr="00F05218">
        <w:rPr>
          <w:rStyle w:val="Strong"/>
          <w:rFonts w:ascii="Arial" w:hAnsi="Arial" w:cs="Arial"/>
          <w:b w:val="0"/>
          <w:bCs w:val="0"/>
          <w:color w:val="0F1115"/>
          <w:shd w:val="clear" w:color="auto" w:fill="FFFFFF"/>
        </w:rPr>
        <w:t>diameter</w:t>
      </w:r>
      <w:r w:rsidRPr="00F05218">
        <w:rPr>
          <w:rFonts w:ascii="Arial" w:hAnsi="Arial" w:cs="Arial"/>
          <w:b/>
          <w:bCs/>
          <w:shd w:val="clear" w:color="auto" w:fill="FFFFFF"/>
        </w:rPr>
        <w:t> </w:t>
      </w:r>
      <w:r w:rsidRPr="00F05218">
        <w:rPr>
          <w:rFonts w:ascii="Arial" w:hAnsi="Arial" w:cs="Arial"/>
          <w:shd w:val="clear" w:color="auto" w:fill="FFFFFF"/>
        </w:rPr>
        <w:t>and </w:t>
      </w:r>
      <w:r w:rsidRPr="00F05218">
        <w:rPr>
          <w:rStyle w:val="Strong"/>
          <w:rFonts w:ascii="Arial" w:hAnsi="Arial" w:cs="Arial"/>
          <w:b w:val="0"/>
          <w:bCs w:val="0"/>
          <w:color w:val="0F1115"/>
          <w:shd w:val="clear" w:color="auto" w:fill="FFFFFF"/>
        </w:rPr>
        <w:t>invert levels/gradients</w:t>
      </w:r>
      <w:r w:rsidRPr="00F05218">
        <w:rPr>
          <w:rFonts w:ascii="Arial" w:hAnsi="Arial" w:cs="Arial"/>
          <w:shd w:val="clear" w:color="auto" w:fill="FFFFFF"/>
        </w:rPr>
        <w:t> for the </w:t>
      </w:r>
      <w:r w:rsidRPr="00F05218">
        <w:rPr>
          <w:rStyle w:val="Strong"/>
          <w:rFonts w:ascii="Arial" w:hAnsi="Arial" w:cs="Arial"/>
          <w:b w:val="0"/>
          <w:bCs w:val="0"/>
          <w:color w:val="0F1115"/>
          <w:shd w:val="clear" w:color="auto" w:fill="FFFFFF"/>
        </w:rPr>
        <w:t>main trunk lines</w:t>
      </w:r>
      <w:r w:rsidRPr="00F05218">
        <w:rPr>
          <w:rFonts w:ascii="Arial" w:hAnsi="Arial" w:cs="Arial"/>
          <w:shd w:val="clear" w:color="auto" w:fill="FFFFFF"/>
        </w:rPr>
        <w:t xml:space="preserve"> (like the Northern Outfall </w:t>
      </w:r>
      <w:r>
        <w:rPr>
          <w:rFonts w:ascii="Arial" w:hAnsi="Arial" w:cs="Arial"/>
          <w:shd w:val="clear" w:color="auto" w:fill="FFFFFF"/>
        </w:rPr>
        <w:t>which is detailed here</w:t>
      </w:r>
      <w:r w:rsidRPr="00F05218">
        <w:rPr>
          <w:rFonts w:ascii="Arial" w:hAnsi="Arial" w:cs="Arial"/>
          <w:shd w:val="clear" w:color="auto" w:fill="FFFFFF"/>
        </w:rPr>
        <w:t>) and major tributaries</w:t>
      </w:r>
      <w:r w:rsidR="00E12C43">
        <w:rPr>
          <w:rFonts w:ascii="Arial" w:hAnsi="Arial" w:cs="Arial"/>
          <w:shd w:val="clear" w:color="auto" w:fill="FFFFFF"/>
        </w:rPr>
        <w:t>, and to show the obstacles that cause the deviations (</w:t>
      </w:r>
      <w:r w:rsidR="006524B0">
        <w:rPr>
          <w:rFonts w:ascii="Arial" w:hAnsi="Arial" w:cs="Arial"/>
          <w:shd w:val="clear" w:color="auto" w:fill="FFFFFF"/>
        </w:rPr>
        <w:t>like a diversion to avoid a main</w:t>
      </w:r>
      <w:r w:rsidR="00E12C43">
        <w:rPr>
          <w:rFonts w:ascii="Arial" w:hAnsi="Arial" w:cs="Arial"/>
          <w:shd w:val="clear" w:color="auto" w:fill="FFFFFF"/>
        </w:rPr>
        <w:t xml:space="preserve"> Gas line</w:t>
      </w:r>
      <w:r w:rsidR="006524B0">
        <w:rPr>
          <w:rFonts w:ascii="Arial" w:hAnsi="Arial" w:cs="Arial"/>
          <w:shd w:val="clear" w:color="auto" w:fill="FFFFFF"/>
        </w:rPr>
        <w:t xml:space="preserve"> in the drawings</w:t>
      </w:r>
      <w:r w:rsidR="00E12C43">
        <w:rPr>
          <w:rFonts w:ascii="Arial" w:hAnsi="Arial" w:cs="Arial"/>
          <w:shd w:val="clear" w:color="auto" w:fill="FFFFFF"/>
        </w:rPr>
        <w:t>)</w:t>
      </w:r>
      <w:r>
        <w:rPr>
          <w:rFonts w:ascii="Arial" w:hAnsi="Arial" w:cs="Arial"/>
          <w:shd w:val="clear" w:color="auto" w:fill="FFFFFF"/>
        </w:rPr>
        <w:t xml:space="preserve">. </w:t>
      </w:r>
    </w:p>
    <w:p w14:paraId="3370244A" w14:textId="77777777" w:rsidR="00E56371" w:rsidRDefault="00E56371" w:rsidP="00E56371">
      <w:pPr>
        <w:rPr>
          <w:rFonts w:ascii="Arial" w:hAnsi="Arial" w:cs="Arial"/>
          <w:shd w:val="clear" w:color="auto" w:fill="FFFFFF"/>
        </w:rPr>
      </w:pPr>
      <w:r>
        <w:rPr>
          <w:rFonts w:ascii="Arial" w:hAnsi="Arial" w:cs="Arial"/>
          <w:shd w:val="clear" w:color="auto" w:fill="FFFFFF"/>
        </w:rPr>
        <w:t xml:space="preserve">These are in the archives and are NOT digitized (as far as I know) and a sample is in the folder labelled “lma” that has photos of the drawings of the Northern Sewer Outfall of the Thames from the Bazalgette design. </w:t>
      </w:r>
    </w:p>
    <w:p w14:paraId="0A62DBA6" w14:textId="4C363EFF" w:rsidR="00E56371" w:rsidRDefault="00E56371" w:rsidP="00E56371">
      <w:pPr>
        <w:rPr>
          <w:rFonts w:ascii="Arial" w:hAnsi="Arial" w:cs="Arial"/>
          <w:shd w:val="clear" w:color="auto" w:fill="FFFFFF"/>
        </w:rPr>
      </w:pPr>
      <w:r>
        <w:rPr>
          <w:rFonts w:ascii="Arial" w:hAnsi="Arial" w:cs="Arial"/>
          <w:color w:val="0F1115"/>
          <w:shd w:val="clear" w:color="auto" w:fill="FFFFFF"/>
        </w:rPr>
        <w:t>Drawings provide high-precision spatial instruments or validation checks by looking</w:t>
      </w:r>
      <w:r w:rsidRPr="00FB7571">
        <w:rPr>
          <w:rFonts w:ascii="Arial" w:hAnsi="Arial" w:cs="Arial"/>
          <w:color w:val="0F1115"/>
          <w:shd w:val="clear" w:color="auto" w:fill="FFFFFF"/>
        </w:rPr>
        <w:t xml:space="preserve"> for </w:t>
      </w:r>
      <w:r w:rsidRPr="00FB7571">
        <w:rPr>
          <w:rStyle w:val="Strong"/>
          <w:rFonts w:ascii="Arial" w:hAnsi="Arial" w:cs="Arial"/>
          <w:b w:val="0"/>
          <w:bCs w:val="0"/>
          <w:color w:val="0F1115"/>
          <w:shd w:val="clear" w:color="auto" w:fill="FFFFFF"/>
        </w:rPr>
        <w:t>annotated diversions</w:t>
      </w:r>
      <w:r w:rsidRPr="00FB7571">
        <w:rPr>
          <w:rFonts w:ascii="Arial" w:hAnsi="Arial" w:cs="Arial"/>
          <w:color w:val="0F1115"/>
          <w:shd w:val="clear" w:color="auto" w:fill="FFFFFF"/>
        </w:rPr>
        <w:t>, changes in alignment at property lines, or notes explaining route choices</w:t>
      </w:r>
      <w:r>
        <w:rPr>
          <w:rFonts w:ascii="Arial" w:hAnsi="Arial" w:cs="Arial"/>
          <w:color w:val="0F1115"/>
          <w:shd w:val="clear" w:color="auto" w:fill="FFFFFF"/>
        </w:rPr>
        <w:t xml:space="preserve"> to</w:t>
      </w:r>
      <w:r w:rsidRPr="00FB7571">
        <w:rPr>
          <w:rFonts w:ascii="Arial" w:hAnsi="Arial" w:cs="Arial"/>
          <w:color w:val="0F1115"/>
          <w:shd w:val="clear" w:color="auto" w:fill="FFFFFF"/>
        </w:rPr>
        <w:t xml:space="preserve"> confirm that circuitousness is a </w:t>
      </w:r>
      <w:r w:rsidRPr="00FB7571">
        <w:rPr>
          <w:rStyle w:val="Strong"/>
          <w:rFonts w:ascii="Arial" w:hAnsi="Arial" w:cs="Arial"/>
          <w:b w:val="0"/>
          <w:bCs w:val="0"/>
          <w:color w:val="0F1115"/>
          <w:shd w:val="clear" w:color="auto" w:fill="FFFFFF"/>
        </w:rPr>
        <w:t>cost-driven engineering</w:t>
      </w:r>
      <w:r w:rsidR="0045714B">
        <w:rPr>
          <w:rStyle w:val="Strong"/>
          <w:rFonts w:ascii="Arial" w:hAnsi="Arial" w:cs="Arial"/>
          <w:b w:val="0"/>
          <w:bCs w:val="0"/>
          <w:color w:val="0F1115"/>
          <w:shd w:val="clear" w:color="auto" w:fill="FFFFFF"/>
        </w:rPr>
        <w:t xml:space="preserve"> </w:t>
      </w:r>
      <w:r w:rsidRPr="00FB7571">
        <w:rPr>
          <w:rStyle w:val="Strong"/>
          <w:rFonts w:ascii="Arial" w:hAnsi="Arial" w:cs="Arial"/>
          <w:b w:val="0"/>
          <w:bCs w:val="0"/>
          <w:color w:val="0F1115"/>
          <w:shd w:val="clear" w:color="auto" w:fill="FFFFFF"/>
        </w:rPr>
        <w:t>compromise</w:t>
      </w:r>
      <w:r w:rsidRPr="00FB7571">
        <w:rPr>
          <w:rFonts w:ascii="Arial" w:hAnsi="Arial" w:cs="Arial"/>
          <w:color w:val="0F1115"/>
          <w:shd w:val="clear" w:color="auto" w:fill="FFFFFF"/>
        </w:rPr>
        <w:t>.</w:t>
      </w:r>
    </w:p>
    <w:p w14:paraId="0D912E79" w14:textId="77777777" w:rsidR="00E56371" w:rsidRDefault="00E56371" w:rsidP="00E56371">
      <w:pPr>
        <w:rPr>
          <w:rFonts w:ascii="Arial" w:hAnsi="Arial" w:cs="Arial"/>
          <w:shd w:val="clear" w:color="auto" w:fill="FFFFFF"/>
        </w:rPr>
      </w:pPr>
    </w:p>
    <w:p w14:paraId="15B09028" w14:textId="77777777" w:rsidR="00E56371" w:rsidRDefault="00E56371" w:rsidP="00E56371">
      <w:pPr>
        <w:rPr>
          <w:rFonts w:ascii="Arial" w:hAnsi="Arial" w:cs="Arial"/>
          <w:shd w:val="clear" w:color="auto" w:fill="FFFFFF"/>
        </w:rPr>
      </w:pPr>
      <w:r>
        <w:rPr>
          <w:rFonts w:ascii="Arial" w:hAnsi="Arial" w:cs="Arial"/>
          <w:shd w:val="clear" w:color="auto" w:fill="FFFFFF"/>
        </w:rPr>
        <w:t xml:space="preserve">What variables can be extracted from the drawings? </w:t>
      </w:r>
    </w:p>
    <w:p w14:paraId="31970ADA" w14:textId="77777777" w:rsidR="00E56371" w:rsidRDefault="00E56371" w:rsidP="00E56371">
      <w:pPr>
        <w:rPr>
          <w:rFonts w:ascii="Arial" w:hAnsi="Arial" w:cs="Arial"/>
          <w:color w:val="0F1115"/>
        </w:rPr>
      </w:pPr>
      <w:r>
        <w:rPr>
          <w:rFonts w:ascii="Arial" w:hAnsi="Arial" w:cs="Arial"/>
          <w:shd w:val="clear" w:color="auto" w:fill="FFFFFF"/>
        </w:rPr>
        <w:t xml:space="preserve">Need to georeference from drawings (see Sheet 10). Then use </w:t>
      </w:r>
      <w:r w:rsidRPr="005B67C3">
        <w:rPr>
          <w:rStyle w:val="Strong"/>
          <w:rFonts w:ascii="Arial" w:hAnsi="Arial" w:cs="Arial"/>
          <w:b w:val="0"/>
          <w:bCs w:val="0"/>
          <w:color w:val="0F1115"/>
        </w:rPr>
        <w:t>longitudinal sections</w:t>
      </w:r>
      <w:r w:rsidRPr="005B67C3">
        <w:rPr>
          <w:rFonts w:ascii="Arial" w:hAnsi="Arial" w:cs="Arial"/>
          <w:color w:val="0F1115"/>
        </w:rPr>
        <w:t> (elevation profiles along the sewer) and </w:t>
      </w:r>
      <w:r w:rsidRPr="005B67C3">
        <w:rPr>
          <w:rStyle w:val="Strong"/>
          <w:rFonts w:ascii="Arial" w:hAnsi="Arial" w:cs="Arial"/>
          <w:b w:val="0"/>
          <w:bCs w:val="0"/>
          <w:color w:val="0F1115"/>
        </w:rPr>
        <w:t>cross-sections</w:t>
      </w:r>
      <w:r w:rsidRPr="005B67C3">
        <w:rPr>
          <w:rFonts w:ascii="Arial" w:hAnsi="Arial" w:cs="Arial"/>
          <w:color w:val="0F1115"/>
        </w:rPr>
        <w:t> (pipe shape and size) to construct high-precision instruments</w:t>
      </w:r>
      <w:r>
        <w:rPr>
          <w:rFonts w:ascii="Arial" w:hAnsi="Arial" w:cs="Arial"/>
          <w:color w:val="0F1115"/>
        </w:rPr>
        <w:t xml:space="preserve"> (see Sheets 14 and 6)</w:t>
      </w:r>
      <w:r w:rsidRPr="005B67C3">
        <w:rPr>
          <w:rFonts w:ascii="Arial" w:hAnsi="Arial" w:cs="Arial"/>
          <w:color w:val="0F1115"/>
        </w:rPr>
        <w:t>:</w:t>
      </w:r>
    </w:p>
    <w:p w14:paraId="0A880924" w14:textId="77777777" w:rsidR="00E56371" w:rsidRPr="005B67C3" w:rsidRDefault="00E56371" w:rsidP="00E56371">
      <w:pPr>
        <w:rPr>
          <w:rFonts w:ascii="Arial" w:hAnsi="Arial" w:cs="Arial"/>
          <w:shd w:val="clear" w:color="auto" w:fill="FFFFFF"/>
        </w:rPr>
      </w:pPr>
    </w:p>
    <w:p w14:paraId="0C84CD92"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Invert Levels</w:t>
      </w:r>
      <w:r w:rsidRPr="005B67C3">
        <w:rPr>
          <w:rFonts w:ascii="Arial" w:hAnsi="Arial" w:cs="Arial"/>
          <w:color w:val="0F1115"/>
        </w:rPr>
        <w:t> (e.g., </w:t>
      </w:r>
      <w:r w:rsidRPr="005B67C3">
        <w:rPr>
          <w:rStyle w:val="HTMLCode"/>
          <w:rFonts w:ascii="Arial" w:eastAsiaTheme="majorEastAsia" w:hAnsi="Arial" w:cs="Arial"/>
          <w:color w:val="0F1115"/>
          <w:sz w:val="24"/>
          <w:szCs w:val="24"/>
          <w:shd w:val="clear" w:color="auto" w:fill="EBEEF2"/>
        </w:rPr>
        <w:t>12.76</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11.97</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9.10</w:t>
      </w:r>
      <w:r w:rsidRPr="005B67C3">
        <w:rPr>
          <w:rFonts w:ascii="Arial" w:hAnsi="Arial" w:cs="Arial"/>
          <w:color w:val="0F1115"/>
        </w:rPr>
        <w:t> on the drawings) –</w:t>
      </w:r>
      <w:r>
        <w:rPr>
          <w:rFonts w:ascii="Arial" w:hAnsi="Arial" w:cs="Arial"/>
          <w:color w:val="0F1115"/>
        </w:rPr>
        <w:t xml:space="preserve"> </w:t>
      </w:r>
      <w:r w:rsidRPr="005B67C3">
        <w:rPr>
          <w:rFonts w:ascii="Arial" w:hAnsi="Arial" w:cs="Arial"/>
          <w:color w:val="0F1115"/>
        </w:rPr>
        <w:t>the </w:t>
      </w:r>
      <w:r w:rsidRPr="005B67C3">
        <w:rPr>
          <w:rStyle w:val="Strong"/>
          <w:rFonts w:ascii="Arial" w:eastAsiaTheme="majorEastAsia" w:hAnsi="Arial" w:cs="Arial"/>
          <w:b w:val="0"/>
          <w:bCs w:val="0"/>
          <w:color w:val="0F1115"/>
        </w:rPr>
        <w:t>exact elevation</w:t>
      </w:r>
      <w:r w:rsidRPr="005B67C3">
        <w:rPr>
          <w:rFonts w:ascii="Arial" w:hAnsi="Arial" w:cs="Arial"/>
          <w:color w:val="0F1115"/>
        </w:rPr>
        <w:t> of the sewer bottom at specific chainages (distances).</w:t>
      </w:r>
    </w:p>
    <w:p w14:paraId="5DCF05DF"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Gradients</w:t>
      </w:r>
      <w:r w:rsidRPr="005B67C3">
        <w:rPr>
          <w:rFonts w:ascii="Arial" w:hAnsi="Arial" w:cs="Arial"/>
          <w:color w:val="0F1115"/>
        </w:rPr>
        <w:t> – either directly stated (e.g., </w:t>
      </w:r>
      <w:r w:rsidRPr="005B67C3">
        <w:rPr>
          <w:rStyle w:val="HTMLCode"/>
          <w:rFonts w:ascii="Arial" w:eastAsiaTheme="majorEastAsia" w:hAnsi="Arial" w:cs="Arial"/>
          <w:color w:val="0F1115"/>
          <w:sz w:val="24"/>
          <w:szCs w:val="24"/>
          <w:shd w:val="clear" w:color="auto" w:fill="EBEEF2"/>
        </w:rPr>
        <w:t>1 in 880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 in 1150</w:t>
      </w:r>
      <w:r w:rsidRPr="005B67C3">
        <w:rPr>
          <w:rFonts w:ascii="Arial" w:hAnsi="Arial" w:cs="Arial"/>
          <w:color w:val="0F1115"/>
        </w:rPr>
        <w:t>) or calculable from invert levels and distances.</w:t>
      </w:r>
    </w:p>
    <w:p w14:paraId="6A211FD0"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Pipe Dimensions</w:t>
      </w:r>
      <w:r w:rsidRPr="005B67C3">
        <w:rPr>
          <w:rFonts w:ascii="Arial" w:hAnsi="Arial" w:cs="Arial"/>
          <w:color w:val="0F1115"/>
        </w:rPr>
        <w:t> – from cross-sections: diameters (e.g., </w:t>
      </w:r>
      <w:r w:rsidRPr="005B67C3">
        <w:rPr>
          <w:rStyle w:val="HTMLCode"/>
          <w:rFonts w:ascii="Arial" w:eastAsiaTheme="majorEastAsia" w:hAnsi="Arial" w:cs="Arial"/>
          <w:color w:val="0F1115"/>
          <w:sz w:val="24"/>
          <w:szCs w:val="24"/>
          <w:shd w:val="clear" w:color="auto" w:fill="EBEEF2"/>
        </w:rPr>
        <w:t>4'0"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6'0"</w:t>
      </w:r>
      <w:r w:rsidRPr="005B67C3">
        <w:rPr>
          <w:rFonts w:ascii="Arial" w:hAnsi="Arial" w:cs="Arial"/>
          <w:color w:val="0F1115"/>
        </w:rPr>
        <w:t>), egg-shaped dimensions (</w:t>
      </w:r>
      <w:r w:rsidRPr="005B67C3">
        <w:rPr>
          <w:rStyle w:val="HTMLCode"/>
          <w:rFonts w:ascii="Arial" w:eastAsiaTheme="majorEastAsia" w:hAnsi="Arial" w:cs="Arial"/>
          <w:color w:val="0F1115"/>
          <w:sz w:val="24"/>
          <w:szCs w:val="24"/>
          <w:shd w:val="clear" w:color="auto" w:fill="EBEEF2"/>
        </w:rPr>
        <w:t>54" x 36"</w:t>
      </w:r>
      <w:r w:rsidRPr="005B67C3">
        <w:rPr>
          <w:rFonts w:ascii="Arial" w:hAnsi="Arial" w:cs="Arial"/>
          <w:color w:val="0F1115"/>
        </w:rPr>
        <w:t>), and construction details (brick vs. concrete).</w:t>
      </w:r>
    </w:p>
    <w:p w14:paraId="6958FDEF" w14:textId="2E417CAA" w:rsidR="007B49D0" w:rsidRPr="007B49D0" w:rsidRDefault="007B49D0" w:rsidP="007B49D0">
      <w:pPr>
        <w:pStyle w:val="ds-markdown-paragraph"/>
        <w:numPr>
          <w:ilvl w:val="0"/>
          <w:numId w:val="2"/>
        </w:numPr>
        <w:shd w:val="clear" w:color="auto" w:fill="FFFFFF"/>
        <w:spacing w:before="0" w:beforeAutospacing="0" w:after="0" w:afterAutospacing="0"/>
        <w:rPr>
          <w:rStyle w:val="Strong"/>
          <w:rFonts w:ascii="Arial" w:hAnsi="Arial" w:cs="Arial"/>
          <w:b w:val="0"/>
          <w:bCs w:val="0"/>
          <w:color w:val="0F1115"/>
        </w:rPr>
      </w:pPr>
      <w:r>
        <w:rPr>
          <w:rStyle w:val="Strong"/>
          <w:rFonts w:ascii="Arial" w:eastAsiaTheme="majorEastAsia" w:hAnsi="Arial" w:cs="Arial"/>
          <w:color w:val="0F1115"/>
        </w:rPr>
        <w:t xml:space="preserve">Location Cues </w:t>
      </w:r>
      <w:r w:rsidRPr="00FB7571">
        <w:rPr>
          <w:rStyle w:val="Strong"/>
          <w:rFonts w:ascii="Arial" w:eastAsiaTheme="majorEastAsia" w:hAnsi="Arial" w:cs="Arial"/>
          <w:b w:val="0"/>
          <w:bCs w:val="0"/>
          <w:color w:val="0F1115"/>
        </w:rPr>
        <w:t>(e.g., street, landmark, sewer shape)</w:t>
      </w:r>
      <w:r>
        <w:rPr>
          <w:rStyle w:val="Strong"/>
          <w:rFonts w:ascii="Arial" w:eastAsiaTheme="majorEastAsia" w:hAnsi="Arial" w:cs="Arial"/>
          <w:b w:val="0"/>
          <w:bCs w:val="0"/>
          <w:color w:val="0F1115"/>
        </w:rPr>
        <w:t xml:space="preserve"> to georeference.</w:t>
      </w:r>
    </w:p>
    <w:p w14:paraId="48210206" w14:textId="6EC995DC" w:rsidR="007B49D0" w:rsidRPr="007B49D0" w:rsidRDefault="007B49D0" w:rsidP="007B49D0">
      <w:pPr>
        <w:pStyle w:val="ds-markdown-paragraph"/>
        <w:numPr>
          <w:ilvl w:val="0"/>
          <w:numId w:val="2"/>
        </w:numPr>
        <w:shd w:val="clear" w:color="auto" w:fill="FFFFFF"/>
        <w:spacing w:before="0" w:beforeAutospacing="0" w:after="0" w:afterAutospacing="0"/>
        <w:rPr>
          <w:rStyle w:val="Strong"/>
          <w:rFonts w:ascii="Arial" w:hAnsi="Arial" w:cs="Arial"/>
          <w:b w:val="0"/>
          <w:bCs w:val="0"/>
          <w:color w:val="0F1115"/>
        </w:rPr>
      </w:pPr>
      <w:r w:rsidRPr="005B67C3">
        <w:rPr>
          <w:rStyle w:val="Strong"/>
          <w:rFonts w:ascii="Arial" w:eastAsiaTheme="majorEastAsia" w:hAnsi="Arial" w:cs="Arial"/>
          <w:color w:val="0F1115"/>
        </w:rPr>
        <w:t>Chainage</w:t>
      </w:r>
      <w:r w:rsidRPr="005B67C3">
        <w:rPr>
          <w:rFonts w:ascii="Arial" w:hAnsi="Arial" w:cs="Arial"/>
          <w:color w:val="0F1115"/>
        </w:rPr>
        <w:t> – distance from a starting point (e.g., </w:t>
      </w:r>
      <w:r w:rsidRPr="005B67C3">
        <w:rPr>
          <w:rStyle w:val="HTMLCode"/>
          <w:rFonts w:ascii="Arial" w:eastAsiaTheme="majorEastAsia" w:hAnsi="Arial" w:cs="Arial"/>
          <w:color w:val="0F1115"/>
          <w:sz w:val="24"/>
          <w:szCs w:val="24"/>
          <w:shd w:val="clear" w:color="auto" w:fill="EBEEF2"/>
        </w:rPr>
        <w:t>20 Miles 30 Chains</w:t>
      </w:r>
      <w:r w:rsidRPr="005B67C3">
        <w:rPr>
          <w:rFonts w:ascii="Arial" w:hAnsi="Arial" w:cs="Arial"/>
          <w:color w:val="0F1115"/>
        </w:rPr>
        <w:t>), allowing precise location plotting.</w:t>
      </w:r>
    </w:p>
    <w:p w14:paraId="2FC5CD12" w14:textId="77777777" w:rsidR="007B49D0" w:rsidRPr="005B67C3" w:rsidRDefault="007B49D0" w:rsidP="007B49D0">
      <w:pPr>
        <w:pStyle w:val="ds-markdown-paragraph"/>
        <w:shd w:val="clear" w:color="auto" w:fill="FFFFFF"/>
        <w:spacing w:before="0" w:beforeAutospacing="0" w:after="0" w:afterAutospacing="0"/>
        <w:rPr>
          <w:rFonts w:ascii="Arial" w:hAnsi="Arial" w:cs="Arial"/>
          <w:color w:val="0F1115"/>
        </w:rPr>
      </w:pPr>
    </w:p>
    <w:p w14:paraId="3338A3D4" w14:textId="2E1BAF6F" w:rsidR="00E56371" w:rsidRDefault="00E56371" w:rsidP="00E56371">
      <w:pPr>
        <w:rPr>
          <w:rFonts w:ascii="Arial" w:hAnsi="Arial" w:cs="Arial"/>
          <w:shd w:val="clear" w:color="auto" w:fill="FFFFFF"/>
        </w:rPr>
      </w:pPr>
      <w:r>
        <w:rPr>
          <w:rFonts w:ascii="Arial" w:hAnsi="Arial" w:cs="Arial"/>
          <w:shd w:val="clear" w:color="auto" w:fill="FFFFFF"/>
        </w:rPr>
        <w:t>Flatter gradients, notes like “tide affected”/”backwater”, pipe shape changes, smaller pipes are all good candidates for more spills.</w:t>
      </w:r>
    </w:p>
    <w:p w14:paraId="1EF1BFD4" w14:textId="77777777" w:rsidR="00E56371" w:rsidRDefault="00E56371" w:rsidP="00E56371">
      <w:pPr>
        <w:rPr>
          <w:rFonts w:ascii="Arial" w:hAnsi="Arial" w:cs="Arial"/>
          <w:shd w:val="clear" w:color="auto" w:fill="FFFFFF"/>
        </w:rPr>
      </w:pPr>
    </w:p>
    <w:p w14:paraId="3B58EA41" w14:textId="77777777" w:rsidR="00E56371" w:rsidRDefault="00E56371" w:rsidP="00E56371">
      <w:pPr>
        <w:rPr>
          <w:rFonts w:ascii="Arial" w:hAnsi="Arial" w:cs="Arial"/>
          <w:shd w:val="clear" w:color="auto" w:fill="FFFFFF"/>
        </w:rPr>
      </w:pPr>
      <w:r>
        <w:rPr>
          <w:rFonts w:ascii="Arial" w:hAnsi="Arial" w:cs="Arial"/>
          <w:shd w:val="clear" w:color="auto" w:fill="FFFFFF"/>
        </w:rPr>
        <w:t xml:space="preserve">Scaling up? </w:t>
      </w:r>
    </w:p>
    <w:p w14:paraId="5D1F88F7" w14:textId="55396B4B" w:rsidR="00E56371" w:rsidRDefault="0045714B" w:rsidP="00E56371">
      <w:pPr>
        <w:rPr>
          <w:rFonts w:ascii="Arial" w:hAnsi="Arial" w:cs="Arial"/>
          <w:shd w:val="clear" w:color="auto" w:fill="FFFFFF"/>
        </w:rPr>
      </w:pPr>
      <w:r>
        <w:rPr>
          <w:rFonts w:ascii="Arial" w:hAnsi="Arial" w:cs="Arial"/>
          <w:shd w:val="clear" w:color="auto" w:fill="FFFFFF"/>
        </w:rPr>
        <w:t>F</w:t>
      </w:r>
      <w:r w:rsidR="00E56371">
        <w:rPr>
          <w:rFonts w:ascii="Arial" w:hAnsi="Arial" w:cs="Arial"/>
          <w:shd w:val="clear" w:color="auto" w:fill="FFFFFF"/>
        </w:rPr>
        <w:t>rom the drawings</w:t>
      </w:r>
      <w:r>
        <w:rPr>
          <w:rFonts w:ascii="Arial" w:hAnsi="Arial" w:cs="Arial"/>
          <w:shd w:val="clear" w:color="auto" w:fill="FFFFFF"/>
        </w:rPr>
        <w:t>, can get</w:t>
      </w:r>
      <w:r w:rsidR="00E56371">
        <w:rPr>
          <w:rFonts w:ascii="Arial" w:hAnsi="Arial" w:cs="Arial"/>
          <w:shd w:val="clear" w:color="auto" w:fill="FFFFFF"/>
        </w:rPr>
        <w:t xml:space="preserve"> actual gradient</w:t>
      </w:r>
      <w:r w:rsidR="007B49D0">
        <w:rPr>
          <w:rFonts w:ascii="Arial" w:hAnsi="Arial" w:cs="Arial"/>
          <w:shd w:val="clear" w:color="auto" w:fill="FFFFFF"/>
        </w:rPr>
        <w:t xml:space="preserve"> (invert levels and stated gradients) and capacity pressure (pipe area v population), </w:t>
      </w:r>
      <w:r>
        <w:rPr>
          <w:rFonts w:ascii="Arial" w:hAnsi="Arial" w:cs="Arial"/>
          <w:shd w:val="clear" w:color="auto" w:fill="FFFFFF"/>
        </w:rPr>
        <w:t>a</w:t>
      </w:r>
      <w:r w:rsidR="007B49D0">
        <w:rPr>
          <w:rFonts w:ascii="Arial" w:hAnsi="Arial" w:cs="Arial"/>
          <w:shd w:val="clear" w:color="auto" w:fill="FFFFFF"/>
        </w:rPr>
        <w:t>long with qualitative notes (like Gas Main for</w:t>
      </w:r>
      <w:r w:rsidR="00E56371">
        <w:rPr>
          <w:rFonts w:ascii="Arial" w:hAnsi="Arial" w:cs="Arial"/>
          <w:shd w:val="clear" w:color="auto" w:fill="FFFFFF"/>
        </w:rPr>
        <w:t xml:space="preserve"> circuitousness</w:t>
      </w:r>
      <w:r w:rsidR="007B49D0">
        <w:rPr>
          <w:rFonts w:ascii="Arial" w:hAnsi="Arial" w:cs="Arial"/>
          <w:shd w:val="clear" w:color="auto" w:fill="FFFFFF"/>
        </w:rPr>
        <w:t>)</w:t>
      </w:r>
      <w:r w:rsidR="00E56371">
        <w:rPr>
          <w:rFonts w:ascii="Arial" w:hAnsi="Arial" w:cs="Arial"/>
          <w:shd w:val="clear" w:color="auto" w:fill="FFFFFF"/>
        </w:rPr>
        <w:t xml:space="preserve"> of the sewer system to examine the validity of constructed instruments and to optimise their weighting if needed.  </w:t>
      </w:r>
    </w:p>
    <w:p w14:paraId="6CB4EE41" w14:textId="16D609DE" w:rsidR="00E56371" w:rsidRDefault="00E56371" w:rsidP="00E56371">
      <w:pPr>
        <w:rPr>
          <w:rFonts w:ascii="Arial" w:hAnsi="Arial" w:cs="Arial"/>
          <w:shd w:val="clear" w:color="auto" w:fill="FFFFFF"/>
        </w:rPr>
      </w:pPr>
      <w:r>
        <w:rPr>
          <w:rFonts w:ascii="Arial" w:hAnsi="Arial" w:cs="Arial"/>
          <w:shd w:val="clear" w:color="auto" w:fill="FFFFFF"/>
        </w:rPr>
        <w:t>If assume about 2-5 CSOs in London for every mile, then the NO (Hack</w:t>
      </w:r>
      <w:r w:rsidR="0045714B">
        <w:rPr>
          <w:rFonts w:ascii="Arial" w:hAnsi="Arial" w:cs="Arial"/>
          <w:shd w:val="clear" w:color="auto" w:fill="FFFFFF"/>
        </w:rPr>
        <w:t>n</w:t>
      </w:r>
      <w:r>
        <w:rPr>
          <w:rFonts w:ascii="Arial" w:hAnsi="Arial" w:cs="Arial"/>
          <w:shd w:val="clear" w:color="auto" w:fill="FFFFFF"/>
        </w:rPr>
        <w:t>ey to Beckton) drawings</w:t>
      </w:r>
      <w:r w:rsidR="005078A5">
        <w:rPr>
          <w:rFonts w:ascii="Arial" w:hAnsi="Arial" w:cs="Arial"/>
          <w:shd w:val="clear" w:color="auto" w:fill="FFFFFF"/>
        </w:rPr>
        <w:t xml:space="preserve"> in the folder</w:t>
      </w:r>
      <w:r>
        <w:rPr>
          <w:rFonts w:ascii="Arial" w:hAnsi="Arial" w:cs="Arial"/>
          <w:shd w:val="clear" w:color="auto" w:fill="FFFFFF"/>
        </w:rPr>
        <w:t xml:space="preserve"> cover about 2-5 high spill risk CSOs</w:t>
      </w:r>
      <w:r w:rsidR="005078A5">
        <w:rPr>
          <w:rFonts w:ascii="Arial" w:hAnsi="Arial" w:cs="Arial"/>
          <w:shd w:val="clear" w:color="auto" w:fill="FFFFFF"/>
        </w:rPr>
        <w:t>. Going by this, we c</w:t>
      </w:r>
      <w:r>
        <w:rPr>
          <w:rFonts w:ascii="Arial" w:hAnsi="Arial" w:cs="Arial"/>
          <w:shd w:val="clear" w:color="auto" w:fill="FFFFFF"/>
        </w:rPr>
        <w:t>an target a purposive sample of key hydraulic variation segments – flat, steep, major junction, circuitous, typical urban main sewer, extreme hydraulic headroom like a pumping station inlet</w:t>
      </w:r>
      <w:r w:rsidR="005078A5">
        <w:rPr>
          <w:rFonts w:ascii="Arial" w:hAnsi="Arial" w:cs="Arial"/>
          <w:shd w:val="clear" w:color="auto" w:fill="FFFFFF"/>
        </w:rPr>
        <w:t xml:space="preserve">. </w:t>
      </w:r>
      <w:r>
        <w:rPr>
          <w:rFonts w:ascii="Arial" w:hAnsi="Arial" w:cs="Arial"/>
          <w:shd w:val="clear" w:color="auto" w:fill="FFFFFF"/>
        </w:rPr>
        <w:t xml:space="preserve">Possible candidates are – Beckton NO (flat), Hampstead (steep), Fleet Street (major junction), Crossness/Deptford/Abbey Mills (pumping station) </w:t>
      </w:r>
      <w:r w:rsidR="005078A5">
        <w:rPr>
          <w:rFonts w:ascii="Arial" w:hAnsi="Arial" w:cs="Arial"/>
          <w:shd w:val="clear" w:color="auto" w:fill="FFFFFF"/>
        </w:rPr>
        <w:t xml:space="preserve">that can be photographed to obtain the relevant variables. </w:t>
      </w:r>
    </w:p>
    <w:p w14:paraId="5D0802A3" w14:textId="77777777" w:rsidR="00E12C43" w:rsidRDefault="00E12C43" w:rsidP="00E56371">
      <w:pPr>
        <w:rPr>
          <w:rFonts w:ascii="Arial" w:hAnsi="Arial" w:cs="Arial"/>
          <w:shd w:val="clear" w:color="auto" w:fill="FFFFFF"/>
        </w:rPr>
      </w:pPr>
    </w:p>
    <w:p w14:paraId="74E9D09B" w14:textId="007AD6E5" w:rsidR="00E12C43" w:rsidRDefault="00E12C43" w:rsidP="00E56371">
      <w:pPr>
        <w:rPr>
          <w:rFonts w:ascii="Arial" w:hAnsi="Arial" w:cs="Arial"/>
          <w:shd w:val="clear" w:color="auto" w:fill="FFFFFF"/>
        </w:rPr>
      </w:pPr>
      <w:r>
        <w:rPr>
          <w:rFonts w:ascii="Arial" w:hAnsi="Arial" w:cs="Arial"/>
          <w:shd w:val="clear" w:color="auto" w:fill="FFFFFF"/>
        </w:rPr>
        <w:t xml:space="preserve">Example of narrative </w:t>
      </w:r>
    </w:p>
    <w:p w14:paraId="302BECD4" w14:textId="2C6E5B32" w:rsidR="00E12C43" w:rsidRPr="005078A5" w:rsidRDefault="00E12C43" w:rsidP="00E56371">
      <w:pPr>
        <w:rPr>
          <w:rFonts w:ascii="Arial" w:hAnsi="Arial" w:cs="Arial"/>
          <w:shd w:val="clear" w:color="auto" w:fill="FFFFFF"/>
        </w:rPr>
      </w:pPr>
      <w:r w:rsidRPr="005078A5">
        <w:rPr>
          <w:rFonts w:ascii="Arial" w:hAnsi="Arial" w:cs="Arial"/>
          <w:color w:val="0F1115"/>
          <w:shd w:val="clear" w:color="auto" w:fill="FFFFFF"/>
        </w:rPr>
        <w:lastRenderedPageBreak/>
        <w:t>The historical engineering drawings reveal that sewer alignments were primarily determined by cost-minimisation in the face of physical constraints. For example, the Northern Outfall sewer deviates at Chainage 20.45 to avoid the deep excavation required under the Channelsea River (see Drawing 14), and again at Chainage 20.80 to follow a property boundary, as noted on the plan. These features—river crossings and parcel limits—are orthogonal to modern neighbourhood desirability but mechanically influenced the sewer's hydraulic performance. Our circuitousness instrument directly captures these inherited constraints.</w:t>
      </w:r>
    </w:p>
    <w:p w14:paraId="74252D38" w14:textId="77777777" w:rsidR="00E56371" w:rsidRPr="005078A5" w:rsidRDefault="00E56371" w:rsidP="00E56371">
      <w:pPr>
        <w:rPr>
          <w:rFonts w:ascii="Arial" w:hAnsi="Arial" w:cs="Arial"/>
          <w:shd w:val="clear" w:color="auto" w:fill="FFFFFF"/>
        </w:rPr>
      </w:pPr>
    </w:p>
    <w:p w14:paraId="5144B60D" w14:textId="77777777" w:rsidR="00E56371" w:rsidRDefault="00E56371" w:rsidP="00E56371"/>
    <w:p w14:paraId="5409028A" w14:textId="77777777" w:rsidR="00E56371" w:rsidRDefault="00E56371" w:rsidP="00E56371">
      <w:pPr>
        <w:pStyle w:val="NormalWeb"/>
        <w:shd w:val="clear" w:color="auto" w:fill="F9F9FB"/>
        <w:spacing w:before="0" w:beforeAutospacing="0" w:after="300" w:afterAutospacing="0"/>
        <w:sectPr w:rsidR="00E56371" w:rsidSect="00E56371">
          <w:pgSz w:w="11906" w:h="16838"/>
          <w:pgMar w:top="1440" w:right="1440" w:bottom="1440" w:left="1440" w:header="708" w:footer="708" w:gutter="0"/>
          <w:cols w:space="708"/>
          <w:docGrid w:linePitch="360"/>
        </w:sectPr>
      </w:pPr>
    </w:p>
    <w:p w14:paraId="78B33E99" w14:textId="77777777" w:rsidR="00E56371" w:rsidRDefault="00E56371" w:rsidP="00E56371">
      <w:pPr>
        <w:pStyle w:val="NormalWeb"/>
        <w:shd w:val="clear" w:color="auto" w:fill="F9F9FB"/>
        <w:spacing w:before="0" w:beforeAutospacing="0" w:after="300" w:afterAutospacing="0"/>
        <w:rPr>
          <w:rFonts w:ascii="Montserrat" w:hAnsi="Montserrat"/>
          <w:color w:val="434549"/>
          <w:spacing w:val="4"/>
        </w:rPr>
      </w:pPr>
      <w:r>
        <w:fldChar w:fldCharType="begin"/>
      </w:r>
      <w:r>
        <w:instrText xml:space="preserve"> INCLUDEPICTURE "https://www.drainageconsultantsltd.co.uk/wp-content/uploads/2025/04/Drainage-Gradients-Falls3.jpg" \* MERGEFORMATINET </w:instrText>
      </w:r>
      <w:r>
        <w:fldChar w:fldCharType="separate"/>
      </w:r>
      <w:r>
        <w:rPr>
          <w:noProof/>
        </w:rPr>
        <w:drawing>
          <wp:inline distT="0" distB="0" distL="0" distR="0" wp14:anchorId="195371F1" wp14:editId="3146D9FB">
            <wp:extent cx="2258256" cy="1630017"/>
            <wp:effectExtent l="0" t="0" r="2540" b="0"/>
            <wp:docPr id="687416381" name="Picture 1" descr="Diagram of a diagram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16381" name="Picture 1" descr="Diagram of a diagram of a pip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7447" cy="1679960"/>
                    </a:xfrm>
                    <a:prstGeom prst="rect">
                      <a:avLst/>
                    </a:prstGeom>
                    <a:noFill/>
                    <a:ln>
                      <a:noFill/>
                    </a:ln>
                  </pic:spPr>
                </pic:pic>
              </a:graphicData>
            </a:graphic>
          </wp:inline>
        </w:drawing>
      </w:r>
      <w:r>
        <w:fldChar w:fldCharType="end"/>
      </w:r>
      <w:r w:rsidRPr="004A276B">
        <w:rPr>
          <w:rFonts w:ascii="Montserrat" w:hAnsi="Montserrat"/>
          <w:color w:val="434549"/>
          <w:spacing w:val="4"/>
        </w:rPr>
        <w:t xml:space="preserve"> </w:t>
      </w:r>
    </w:p>
    <w:p w14:paraId="0F7564F4" w14:textId="77777777" w:rsidR="00E56371" w:rsidRPr="00926A7F" w:rsidRDefault="00E56371" w:rsidP="00E56371">
      <w:pPr>
        <w:pStyle w:val="NormalWeb"/>
        <w:shd w:val="clear" w:color="auto" w:fill="F9F9FB"/>
        <w:spacing w:before="0" w:beforeAutospacing="0" w:after="300" w:afterAutospacing="0"/>
        <w:rPr>
          <w:rFonts w:ascii="Montserrat" w:hAnsi="Montserrat"/>
          <w:color w:val="434549"/>
          <w:spacing w:val="4"/>
          <w:sz w:val="20"/>
          <w:szCs w:val="20"/>
        </w:rPr>
      </w:pPr>
      <w:r w:rsidRPr="00926A7F">
        <w:rPr>
          <w:rFonts w:ascii="Montserrat" w:hAnsi="Montserrat"/>
          <w:color w:val="434549"/>
          <w:spacing w:val="4"/>
          <w:sz w:val="20"/>
          <w:szCs w:val="20"/>
        </w:rPr>
        <w:t>The invert level of a pipe is the level taken from the bottom of the inside of the pipe as shown.</w:t>
      </w:r>
    </w:p>
    <w:p w14:paraId="25AE9160" w14:textId="77777777" w:rsidR="00E56371" w:rsidRPr="00926A7F" w:rsidRDefault="00E56371" w:rsidP="00E56371">
      <w:pPr>
        <w:pStyle w:val="NormalWeb"/>
        <w:shd w:val="clear" w:color="auto" w:fill="F9F9FB"/>
        <w:spacing w:before="0" w:beforeAutospacing="0" w:after="300" w:afterAutospacing="0"/>
        <w:rPr>
          <w:rFonts w:ascii="Montserrat" w:hAnsi="Montserrat"/>
          <w:color w:val="434549"/>
          <w:spacing w:val="4"/>
          <w:sz w:val="20"/>
          <w:szCs w:val="20"/>
        </w:rPr>
        <w:sectPr w:rsidR="00E56371" w:rsidRPr="00926A7F" w:rsidSect="00E56371">
          <w:type w:val="continuous"/>
          <w:pgSz w:w="11906" w:h="16838"/>
          <w:pgMar w:top="1440" w:right="1440" w:bottom="1440" w:left="1440" w:header="708" w:footer="708" w:gutter="0"/>
          <w:cols w:num="2" w:space="708"/>
          <w:docGrid w:linePitch="360"/>
        </w:sectPr>
      </w:pPr>
      <w:r w:rsidRPr="00926A7F">
        <w:rPr>
          <w:rFonts w:ascii="Montserrat" w:hAnsi="Montserrat"/>
          <w:color w:val="434549"/>
          <w:spacing w:val="4"/>
          <w:sz w:val="20"/>
          <w:szCs w:val="20"/>
        </w:rPr>
        <w:t>The level at the crown of the pipe = the invert level + internal diameter of the pipe + pipe wall thickness. It may be necessary to use this in calculations when level measurements are taken from the crown of a pipe</w:t>
      </w:r>
      <w:r>
        <w:rPr>
          <w:rFonts w:ascii="Montserrat" w:hAnsi="Montserrat"/>
          <w:color w:val="434549"/>
          <w:spacing w:val="4"/>
          <w:sz w:val="20"/>
          <w:szCs w:val="20"/>
        </w:rPr>
        <w:t>.</w:t>
      </w:r>
    </w:p>
    <w:p w14:paraId="350BD436" w14:textId="65CD939C" w:rsidR="00E56371" w:rsidRDefault="00E56371" w:rsidP="00E56371">
      <w:pPr>
        <w:rPr>
          <w:rFonts w:ascii="Arial" w:hAnsi="Arial" w:cs="Arial"/>
        </w:rPr>
        <w:sectPr w:rsidR="00E56371" w:rsidSect="00E56371">
          <w:type w:val="continuous"/>
          <w:pgSz w:w="11906" w:h="16838"/>
          <w:pgMar w:top="1440" w:right="1440" w:bottom="1440" w:left="1440" w:header="708" w:footer="708" w:gutter="0"/>
          <w:cols w:space="708"/>
          <w:docGrid w:linePitch="360"/>
        </w:sectPr>
      </w:pPr>
      <w:r>
        <w:rPr>
          <w:rFonts w:ascii="Arial" w:hAnsi="Arial" w:cs="Arial"/>
        </w:rPr>
        <w:t xml:space="preserve">Source: </w:t>
      </w:r>
      <w:r w:rsidRPr="00926A7F">
        <w:rPr>
          <w:rFonts w:ascii="Arial" w:hAnsi="Arial" w:cs="Arial"/>
        </w:rPr>
        <w:t>https://www.drainageconsultantsltd.co.uk/services/drainage-gradients-fal</w:t>
      </w:r>
    </w:p>
    <w:p w14:paraId="21D8E845" w14:textId="77777777" w:rsidR="00E56371" w:rsidRDefault="00E56371" w:rsidP="00E56371">
      <w:pPr>
        <w:rPr>
          <w:rFonts w:ascii="Arial" w:hAnsi="Arial" w:cs="Arial"/>
        </w:rPr>
        <w:sectPr w:rsidR="00E56371" w:rsidSect="00E56371">
          <w:type w:val="continuous"/>
          <w:pgSz w:w="11906" w:h="16838"/>
          <w:pgMar w:top="1440" w:right="1440" w:bottom="1440" w:left="1440" w:header="708" w:footer="708" w:gutter="0"/>
          <w:cols w:space="708"/>
          <w:docGrid w:linePitch="360"/>
        </w:sectPr>
      </w:pPr>
    </w:p>
    <w:p w14:paraId="2E43C1E8" w14:textId="77777777" w:rsidR="009A225B" w:rsidRDefault="009A225B" w:rsidP="00156E4B"/>
    <w:sectPr w:rsidR="009A22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Montserrat">
    <w:panose1 w:val="00000500000000000000"/>
    <w:charset w:val="4D"/>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B3830"/>
    <w:multiLevelType w:val="multilevel"/>
    <w:tmpl w:val="9982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CA1B00"/>
    <w:multiLevelType w:val="multilevel"/>
    <w:tmpl w:val="05D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65B9D"/>
    <w:multiLevelType w:val="multilevel"/>
    <w:tmpl w:val="A1AE2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70138"/>
    <w:multiLevelType w:val="multilevel"/>
    <w:tmpl w:val="BD5C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216616"/>
    <w:multiLevelType w:val="multilevel"/>
    <w:tmpl w:val="594AD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1222E9"/>
    <w:multiLevelType w:val="hybridMultilevel"/>
    <w:tmpl w:val="479C8442"/>
    <w:lvl w:ilvl="0" w:tplc="FA46130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4B5E4C"/>
    <w:multiLevelType w:val="multilevel"/>
    <w:tmpl w:val="837A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A26DFD"/>
    <w:multiLevelType w:val="multilevel"/>
    <w:tmpl w:val="80C8D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530A50"/>
    <w:multiLevelType w:val="multilevel"/>
    <w:tmpl w:val="C44E7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975579"/>
    <w:multiLevelType w:val="multilevel"/>
    <w:tmpl w:val="B7665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CA22AD"/>
    <w:multiLevelType w:val="hybridMultilevel"/>
    <w:tmpl w:val="A5CAD3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6AA00E6"/>
    <w:multiLevelType w:val="hybridMultilevel"/>
    <w:tmpl w:val="1EDE7786"/>
    <w:lvl w:ilvl="0" w:tplc="FCCE2A9C">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7E12E43"/>
    <w:multiLevelType w:val="multilevel"/>
    <w:tmpl w:val="F26A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E024D"/>
    <w:multiLevelType w:val="multilevel"/>
    <w:tmpl w:val="E062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D0455"/>
    <w:multiLevelType w:val="multilevel"/>
    <w:tmpl w:val="A630F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046FCD"/>
    <w:multiLevelType w:val="multilevel"/>
    <w:tmpl w:val="C2F23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5A0A17"/>
    <w:multiLevelType w:val="multilevel"/>
    <w:tmpl w:val="7C46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E667CF"/>
    <w:multiLevelType w:val="multilevel"/>
    <w:tmpl w:val="9EF0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338345">
    <w:abstractNumId w:val="10"/>
  </w:num>
  <w:num w:numId="2" w16cid:durableId="1264730038">
    <w:abstractNumId w:val="14"/>
  </w:num>
  <w:num w:numId="3" w16cid:durableId="819224278">
    <w:abstractNumId w:val="5"/>
  </w:num>
  <w:num w:numId="4" w16cid:durableId="919827143">
    <w:abstractNumId w:val="11"/>
  </w:num>
  <w:num w:numId="5" w16cid:durableId="1222910171">
    <w:abstractNumId w:val="8"/>
  </w:num>
  <w:num w:numId="6" w16cid:durableId="474222092">
    <w:abstractNumId w:val="7"/>
  </w:num>
  <w:num w:numId="7" w16cid:durableId="1562446066">
    <w:abstractNumId w:val="2"/>
  </w:num>
  <w:num w:numId="8" w16cid:durableId="1627077586">
    <w:abstractNumId w:val="12"/>
  </w:num>
  <w:num w:numId="9" w16cid:durableId="1227838788">
    <w:abstractNumId w:val="9"/>
  </w:num>
  <w:num w:numId="10" w16cid:durableId="915434322">
    <w:abstractNumId w:val="4"/>
  </w:num>
  <w:num w:numId="11" w16cid:durableId="1082873327">
    <w:abstractNumId w:val="17"/>
  </w:num>
  <w:num w:numId="12" w16cid:durableId="2066758907">
    <w:abstractNumId w:val="16"/>
  </w:num>
  <w:num w:numId="13" w16cid:durableId="2066759251">
    <w:abstractNumId w:val="0"/>
  </w:num>
  <w:num w:numId="14" w16cid:durableId="970985600">
    <w:abstractNumId w:val="6"/>
  </w:num>
  <w:num w:numId="15" w16cid:durableId="76100590">
    <w:abstractNumId w:val="1"/>
  </w:num>
  <w:num w:numId="16" w16cid:durableId="1317219456">
    <w:abstractNumId w:val="13"/>
  </w:num>
  <w:num w:numId="17" w16cid:durableId="243616063">
    <w:abstractNumId w:val="15"/>
  </w:num>
  <w:num w:numId="18" w16cid:durableId="108653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371"/>
    <w:rsid w:val="000B05DF"/>
    <w:rsid w:val="000C7008"/>
    <w:rsid w:val="0014757E"/>
    <w:rsid w:val="001538CF"/>
    <w:rsid w:val="00156E4B"/>
    <w:rsid w:val="00174EDA"/>
    <w:rsid w:val="001E1063"/>
    <w:rsid w:val="001E4C45"/>
    <w:rsid w:val="00232613"/>
    <w:rsid w:val="0045714B"/>
    <w:rsid w:val="005078A5"/>
    <w:rsid w:val="005F5281"/>
    <w:rsid w:val="006524B0"/>
    <w:rsid w:val="00770A20"/>
    <w:rsid w:val="007B49D0"/>
    <w:rsid w:val="00803DB3"/>
    <w:rsid w:val="00805A02"/>
    <w:rsid w:val="00831143"/>
    <w:rsid w:val="00853976"/>
    <w:rsid w:val="009A225B"/>
    <w:rsid w:val="00A71C42"/>
    <w:rsid w:val="00AA1179"/>
    <w:rsid w:val="00AA333A"/>
    <w:rsid w:val="00B35FA9"/>
    <w:rsid w:val="00B44B1B"/>
    <w:rsid w:val="00B663C0"/>
    <w:rsid w:val="00B90C46"/>
    <w:rsid w:val="00BA41C0"/>
    <w:rsid w:val="00C91EAC"/>
    <w:rsid w:val="00DE2563"/>
    <w:rsid w:val="00E12C43"/>
    <w:rsid w:val="00E40FA1"/>
    <w:rsid w:val="00E56371"/>
    <w:rsid w:val="00EE57D7"/>
    <w:rsid w:val="00F46B2C"/>
    <w:rsid w:val="00FC4A57"/>
    <w:rsid w:val="00FF66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89416"/>
  <w15:chartTrackingRefBased/>
  <w15:docId w15:val="{2A8612B6-44C8-9542-99D7-5E467A47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1C0"/>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56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6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37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37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37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37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6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371"/>
    <w:rPr>
      <w:rFonts w:eastAsiaTheme="majorEastAsia" w:cstheme="majorBidi"/>
      <w:color w:val="272727" w:themeColor="text1" w:themeTint="D8"/>
    </w:rPr>
  </w:style>
  <w:style w:type="paragraph" w:styleId="Title">
    <w:name w:val="Title"/>
    <w:basedOn w:val="Normal"/>
    <w:next w:val="Normal"/>
    <w:link w:val="TitleChar"/>
    <w:uiPriority w:val="10"/>
    <w:qFormat/>
    <w:rsid w:val="00E563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37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37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6371"/>
    <w:rPr>
      <w:i/>
      <w:iCs/>
      <w:color w:val="404040" w:themeColor="text1" w:themeTint="BF"/>
    </w:rPr>
  </w:style>
  <w:style w:type="paragraph" w:styleId="ListParagraph">
    <w:name w:val="List Paragraph"/>
    <w:basedOn w:val="Normal"/>
    <w:uiPriority w:val="34"/>
    <w:qFormat/>
    <w:rsid w:val="00E56371"/>
    <w:pPr>
      <w:ind w:left="720"/>
      <w:contextualSpacing/>
    </w:pPr>
  </w:style>
  <w:style w:type="character" w:styleId="IntenseEmphasis">
    <w:name w:val="Intense Emphasis"/>
    <w:basedOn w:val="DefaultParagraphFont"/>
    <w:uiPriority w:val="21"/>
    <w:qFormat/>
    <w:rsid w:val="00E56371"/>
    <w:rPr>
      <w:i/>
      <w:iCs/>
      <w:color w:val="0F4761" w:themeColor="accent1" w:themeShade="BF"/>
    </w:rPr>
  </w:style>
  <w:style w:type="paragraph" w:styleId="IntenseQuote">
    <w:name w:val="Intense Quote"/>
    <w:basedOn w:val="Normal"/>
    <w:next w:val="Normal"/>
    <w:link w:val="IntenseQuoteChar"/>
    <w:uiPriority w:val="30"/>
    <w:qFormat/>
    <w:rsid w:val="00E56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371"/>
    <w:rPr>
      <w:i/>
      <w:iCs/>
      <w:color w:val="0F4761" w:themeColor="accent1" w:themeShade="BF"/>
    </w:rPr>
  </w:style>
  <w:style w:type="character" w:styleId="IntenseReference">
    <w:name w:val="Intense Reference"/>
    <w:basedOn w:val="DefaultParagraphFont"/>
    <w:uiPriority w:val="32"/>
    <w:qFormat/>
    <w:rsid w:val="00E56371"/>
    <w:rPr>
      <w:b/>
      <w:bCs/>
      <w:smallCaps/>
      <w:color w:val="0F4761" w:themeColor="accent1" w:themeShade="BF"/>
      <w:spacing w:val="5"/>
    </w:rPr>
  </w:style>
  <w:style w:type="paragraph" w:styleId="NormalWeb">
    <w:name w:val="Normal (Web)"/>
    <w:basedOn w:val="Normal"/>
    <w:uiPriority w:val="99"/>
    <w:unhideWhenUsed/>
    <w:rsid w:val="00E56371"/>
    <w:pPr>
      <w:spacing w:before="100" w:beforeAutospacing="1" w:after="100" w:afterAutospacing="1"/>
    </w:pPr>
  </w:style>
  <w:style w:type="character" w:styleId="Strong">
    <w:name w:val="Strong"/>
    <w:basedOn w:val="DefaultParagraphFont"/>
    <w:uiPriority w:val="22"/>
    <w:qFormat/>
    <w:rsid w:val="00E56371"/>
    <w:rPr>
      <w:b/>
      <w:bCs/>
    </w:rPr>
  </w:style>
  <w:style w:type="paragraph" w:customStyle="1" w:styleId="ds-markdown-paragraph">
    <w:name w:val="ds-markdown-paragraph"/>
    <w:basedOn w:val="Normal"/>
    <w:rsid w:val="00E56371"/>
    <w:pPr>
      <w:spacing w:before="100" w:beforeAutospacing="1" w:after="100" w:afterAutospacing="1"/>
    </w:pPr>
  </w:style>
  <w:style w:type="character" w:styleId="HTMLCode">
    <w:name w:val="HTML Code"/>
    <w:basedOn w:val="DefaultParagraphFont"/>
    <w:uiPriority w:val="99"/>
    <w:semiHidden/>
    <w:unhideWhenUsed/>
    <w:rsid w:val="00E56371"/>
    <w:rPr>
      <w:rFonts w:ascii="Courier New" w:eastAsia="Times New Roman" w:hAnsi="Courier New" w:cs="Courier New"/>
      <w:sz w:val="20"/>
      <w:szCs w:val="20"/>
    </w:rPr>
  </w:style>
  <w:style w:type="character" w:styleId="Emphasis">
    <w:name w:val="Emphasis"/>
    <w:basedOn w:val="DefaultParagraphFont"/>
    <w:uiPriority w:val="20"/>
    <w:qFormat/>
    <w:rsid w:val="00BA41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950</TotalTime>
  <Pages>16</Pages>
  <Words>4139</Words>
  <Characters>25626</Characters>
  <Application>Microsoft Office Word</Application>
  <DocSecurity>0</DocSecurity>
  <Lines>883</Lines>
  <Paragraphs>676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 Dhingra</dc:creator>
  <cp:keywords/>
  <dc:description/>
  <cp:lastModifiedBy>Swati Dhingra</cp:lastModifiedBy>
  <cp:revision>21</cp:revision>
  <dcterms:created xsi:type="dcterms:W3CDTF">2026-01-11T16:04:00Z</dcterms:created>
  <dcterms:modified xsi:type="dcterms:W3CDTF">2026-02-24T12:59:00Z</dcterms:modified>
</cp:coreProperties>
</file>