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管理周会纪要0309</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590"/>
        <w:gridCol w:w="2250"/>
        <w:gridCol w:w="1935"/>
        <w:gridCol w:w="450"/>
        <w:gridCol w:w="360"/>
        <w:gridCol w:w="1005"/>
      </w:tblGrid>
      <w:tr>
        <w:tc>
          <w:tcPr>
            <w:tcW w:w="229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会议主题</w:t>
            </w:r>
          </w:p>
        </w:tc>
        <w:tc>
          <w:tcPr>
            <w:tcW w:w="1590" w:type="dxa"/>
            <w:hMerge w:val="continue"/>
            <w:tcMar>
              <w:top w:type="dxa" w:w="60"/>
              <w:left w:type="dxa" w:w="120"/>
              <w:bottom w:type="dxa" w:w="30"/>
              <w:right w:type="dxa" w:w="120"/>
            </w:tcMar>
          </w:tcPr>
          <w:p>
            <w:pPr>
              <w:spacing w:before="120" w:after="120" w:line="288" w:lineRule="auto"/>
              <w:ind w:left="0"/>
              <w:jc w:val="left"/>
            </w:pPr>
          </w:p>
        </w:tc>
        <w:tc>
          <w:tcPr>
            <w:tcW w:w="60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管理层周会</w:t>
            </w:r>
          </w:p>
        </w:tc>
        <w:tc>
          <w:tcPr>
            <w:tcW w:w="1935" w:type="dxa"/>
            <w:hMerge w:val="continue"/>
            <w:tcMar>
              <w:top w:type="dxa" w:w="60"/>
              <w:left w:type="dxa" w:w="120"/>
              <w:bottom w:type="dxa" w:w="30"/>
              <w:right w:type="dxa" w:w="120"/>
            </w:tcMar>
          </w:tcPr>
          <w:p>
            <w:pPr>
              <w:spacing w:before="120" w:after="120" w:line="288" w:lineRule="auto"/>
              <w:ind w:left="0"/>
              <w:jc w:val="left"/>
            </w:pPr>
          </w:p>
        </w:tc>
        <w:tc>
          <w:tcPr>
            <w:tcW w:w="450" w:type="dxa"/>
            <w:hMerge w:val="continue"/>
            <w:tcMar>
              <w:top w:type="dxa" w:w="60"/>
              <w:left w:type="dxa" w:w="120"/>
              <w:bottom w:type="dxa" w:w="30"/>
              <w:right w:type="dxa" w:w="120"/>
            </w:tcMar>
          </w:tcPr>
          <w:p>
            <w:pPr>
              <w:spacing w:before="120" w:after="120" w:line="288" w:lineRule="auto"/>
              <w:ind w:left="0"/>
              <w:jc w:val="left"/>
            </w:pPr>
          </w:p>
        </w:tc>
        <w:tc>
          <w:tcPr>
            <w:tcW w:w="360"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r>
      <w:tr>
        <w:tc>
          <w:tcPr>
            <w:tcW w:w="229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会议地点</w:t>
            </w:r>
          </w:p>
        </w:tc>
        <w:tc>
          <w:tcPr>
            <w:tcW w:w="1590" w:type="dxa"/>
            <w:hMerge w:val="continue"/>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达摩会议室</w:t>
            </w:r>
          </w:p>
        </w:tc>
        <w:tc>
          <w:tcPr>
            <w:tcW w:w="238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会议时间</w:t>
            </w:r>
          </w:p>
        </w:tc>
        <w:tc>
          <w:tcPr>
            <w:tcW w:w="450" w:type="dxa"/>
            <w:hMerge w:val="continue"/>
            <w:tcMar>
              <w:top w:type="dxa" w:w="60"/>
              <w:left w:type="dxa" w:w="120"/>
              <w:bottom w:type="dxa" w:w="30"/>
              <w:right w:type="dxa" w:w="120"/>
            </w:tcMar>
          </w:tcPr>
          <w:p>
            <w:pPr>
              <w:spacing w:before="120" w:after="120" w:line="288" w:lineRule="auto"/>
              <w:ind w:left="0"/>
              <w:jc w:val="left"/>
            </w:pPr>
          </w:p>
        </w:tc>
        <w:tc>
          <w:tcPr>
            <w:tcW w:w="13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20260309</w:t>
            </w:r>
          </w:p>
        </w:tc>
        <w:tc>
          <w:tcPr>
            <w:tcW w:w="1005" w:type="dxa"/>
            <w:hMerge w:val="continue"/>
            <w:tcMar>
              <w:top w:type="dxa" w:w="60"/>
              <w:left w:type="dxa" w:w="120"/>
              <w:bottom w:type="dxa" w:w="30"/>
              <w:right w:type="dxa" w:w="120"/>
            </w:tcMar>
          </w:tcPr>
          <w:p>
            <w:pPr>
              <w:spacing w:before="120" w:after="120" w:line="288" w:lineRule="auto"/>
              <w:ind w:left="0"/>
              <w:jc w:val="left"/>
            </w:pPr>
          </w:p>
        </w:tc>
      </w:tr>
      <w:tr>
        <w:tc>
          <w:tcPr>
            <w:tcW w:w="229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会议材料</w:t>
            </w:r>
          </w:p>
        </w:tc>
        <w:tc>
          <w:tcPr>
            <w:tcW w:w="1590" w:type="dxa"/>
            <w:hMerge w:val="continue"/>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38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会议记录人</w:t>
            </w:r>
          </w:p>
        </w:tc>
        <w:tc>
          <w:tcPr>
            <w:tcW w:w="450" w:type="dxa"/>
            <w:hMerge w:val="continue"/>
            <w:tcMar>
              <w:top w:type="dxa" w:w="60"/>
              <w:left w:type="dxa" w:w="120"/>
              <w:bottom w:type="dxa" w:w="30"/>
              <w:right w:type="dxa" w:w="120"/>
            </w:tcMar>
          </w:tcPr>
          <w:p>
            <w:pPr>
              <w:spacing w:before="120" w:after="120" w:line="288" w:lineRule="auto"/>
              <w:ind w:left="0"/>
              <w:jc w:val="left"/>
            </w:pPr>
          </w:p>
        </w:tc>
        <w:tc>
          <w:tcPr>
            <w:tcW w:w="13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曾倩文</w:t>
            </w:r>
          </w:p>
        </w:tc>
        <w:tc>
          <w:tcPr>
            <w:tcW w:w="1005" w:type="dxa"/>
            <w:hMerge w:val="continue"/>
            <w:tcMar>
              <w:top w:type="dxa" w:w="60"/>
              <w:left w:type="dxa" w:w="120"/>
              <w:bottom w:type="dxa" w:w="30"/>
              <w:right w:type="dxa" w:w="120"/>
            </w:tcMar>
          </w:tcPr>
          <w:p>
            <w:pPr>
              <w:spacing w:before="120" w:after="120" w:line="288" w:lineRule="auto"/>
              <w:ind w:left="0"/>
              <w:jc w:val="left"/>
            </w:pPr>
          </w:p>
        </w:tc>
      </w:tr>
      <w:tr>
        <w:tc>
          <w:tcPr>
            <w:tcW w:w="229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与会人员</w:t>
            </w:r>
          </w:p>
        </w:tc>
        <w:tc>
          <w:tcPr>
            <w:tcW w:w="1590" w:type="dxa"/>
            <w:hMerge w:val="continue"/>
            <w:tcMar>
              <w:top w:type="dxa" w:w="60"/>
              <w:left w:type="dxa" w:w="120"/>
              <w:bottom w:type="dxa" w:w="30"/>
              <w:right w:type="dxa" w:w="120"/>
            </w:tcMar>
          </w:tcPr>
          <w:p>
            <w:pPr>
              <w:spacing w:before="120" w:after="120" w:line="288" w:lineRule="auto"/>
              <w:ind w:left="0"/>
              <w:jc w:val="left"/>
            </w:pPr>
          </w:p>
        </w:tc>
        <w:tc>
          <w:tcPr>
            <w:tcW w:w="60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冷总、刘雨、Gary、Alter、周立军、雷佳、吴凡、左小美、张颖、曾倩文</w:t>
            </w:r>
          </w:p>
        </w:tc>
        <w:tc>
          <w:tcPr>
            <w:tcW w:w="1935" w:type="dxa"/>
            <w:hMerge w:val="continue"/>
            <w:tcMar>
              <w:top w:type="dxa" w:w="60"/>
              <w:left w:type="dxa" w:w="120"/>
              <w:bottom w:type="dxa" w:w="30"/>
              <w:right w:type="dxa" w:w="120"/>
            </w:tcMar>
          </w:tcPr>
          <w:p>
            <w:pPr>
              <w:spacing w:before="120" w:after="120" w:line="288" w:lineRule="auto"/>
              <w:ind w:left="0"/>
              <w:jc w:val="left"/>
            </w:pPr>
          </w:p>
        </w:tc>
        <w:tc>
          <w:tcPr>
            <w:tcW w:w="450" w:type="dxa"/>
            <w:hMerge w:val="continue"/>
            <w:tcMar>
              <w:top w:type="dxa" w:w="60"/>
              <w:left w:type="dxa" w:w="120"/>
              <w:bottom w:type="dxa" w:w="30"/>
              <w:right w:type="dxa" w:w="120"/>
            </w:tcMar>
          </w:tcPr>
          <w:p>
            <w:pPr>
              <w:spacing w:before="120" w:after="120" w:line="288" w:lineRule="auto"/>
              <w:ind w:left="0"/>
              <w:jc w:val="left"/>
            </w:pPr>
          </w:p>
        </w:tc>
        <w:tc>
          <w:tcPr>
            <w:tcW w:w="360"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会议讨论内容：</w:t>
            </w:r>
          </w:p>
          <w:p>
            <w:pPr>
              <w:spacing w:before="120" w:after="120" w:line="288" w:lineRule="auto"/>
              <w:ind w:left="0"/>
              <w:jc w:val="left"/>
            </w:pPr>
            <w:r>
              <w:rPr>
                <w:rFonts w:eastAsia="等线" w:ascii="Arial" w:cs="Arial" w:hAnsi="Arial"/>
                <w:b w:val="true"/>
                <w:sz w:val="22"/>
              </w:rPr>
              <w:t>会议流程：</w:t>
            </w:r>
          </w:p>
          <w:p>
            <w:pPr>
              <w:spacing w:before="120" w:after="120" w:line="288" w:lineRule="auto"/>
              <w:ind w:left="0"/>
              <w:jc w:val="left"/>
            </w:pPr>
            <w:r>
              <w:rPr>
                <w:rFonts w:eastAsia="等线" w:ascii="Arial" w:cs="Arial" w:hAnsi="Arial"/>
                <w:sz w:val="22"/>
              </w:rPr>
              <w:t>1）每周销售进度发会议群，会上沟通销售端存在的问题及需求；</w:t>
            </w:r>
          </w:p>
          <w:p>
            <w:pPr>
              <w:spacing w:before="120" w:after="120" w:line="288" w:lineRule="auto"/>
              <w:ind w:left="0"/>
              <w:jc w:val="left"/>
            </w:pPr>
            <w:r>
              <w:rPr>
                <w:rFonts w:eastAsia="等线" w:ascii="Arial" w:cs="Arial" w:hAnsi="Arial"/>
                <w:sz w:val="22"/>
              </w:rPr>
              <w:t>2）上周看到的人和事带给自己的思考或疑惑（价值观层面）；</w:t>
            </w:r>
          </w:p>
          <w:p>
            <w:pPr>
              <w:spacing w:before="120" w:after="120" w:line="288" w:lineRule="auto"/>
              <w:ind w:left="0"/>
              <w:jc w:val="left"/>
            </w:pPr>
            <w:r>
              <w:rPr>
                <w:rFonts w:eastAsia="等线" w:ascii="Arial" w:cs="Arial" w:hAnsi="Arial"/>
                <w:sz w:val="22"/>
              </w:rPr>
              <w:t>3）目前工作遇到问题需要大家群策群力的；</w:t>
            </w:r>
          </w:p>
          <w:p>
            <w:pPr>
              <w:spacing w:before="120" w:after="120" w:line="288" w:lineRule="auto"/>
              <w:ind w:left="0"/>
              <w:jc w:val="left"/>
            </w:pPr>
            <w:r>
              <w:rPr>
                <w:rFonts w:eastAsia="等线" w:ascii="Arial" w:cs="Arial" w:hAnsi="Arial"/>
                <w:sz w:val="22"/>
              </w:rPr>
              <w:t>4）计划启动的工作需要大家提前知悉或进行意见征询的。</w:t>
            </w:r>
          </w:p>
        </w:tc>
        <w:tc>
          <w:tcPr>
            <w:tcW w:w="1590" w:type="dxa"/>
            <w:hMerge w:val="continue"/>
            <w:tcMar>
              <w:top w:type="dxa" w:w="60"/>
              <w:left w:type="dxa" w:w="120"/>
              <w:bottom w:type="dxa" w:w="30"/>
              <w:right w:type="dxa" w:w="120"/>
            </w:tcMar>
          </w:tcPr>
          <w:p>
            <w:pPr>
              <w:spacing w:before="120" w:after="120" w:line="288" w:lineRule="auto"/>
              <w:ind w:left="0"/>
              <w:jc w:val="left"/>
            </w:pPr>
          </w:p>
        </w:tc>
        <w:tc>
          <w:tcPr>
            <w:tcW w:w="2250" w:type="dxa"/>
            <w:hMerge w:val="continue"/>
            <w:tcMar>
              <w:top w:type="dxa" w:w="60"/>
              <w:left w:type="dxa" w:w="120"/>
              <w:bottom w:type="dxa" w:w="30"/>
              <w:right w:type="dxa" w:w="120"/>
            </w:tcMar>
          </w:tcPr>
          <w:p>
            <w:pPr>
              <w:spacing w:before="120" w:after="120" w:line="288" w:lineRule="auto"/>
              <w:ind w:left="0"/>
              <w:jc w:val="left"/>
            </w:pPr>
          </w:p>
        </w:tc>
        <w:tc>
          <w:tcPr>
            <w:tcW w:w="1935" w:type="dxa"/>
            <w:hMerge w:val="continue"/>
            <w:tcMar>
              <w:top w:type="dxa" w:w="60"/>
              <w:left w:type="dxa" w:w="120"/>
              <w:bottom w:type="dxa" w:w="30"/>
              <w:right w:type="dxa" w:w="120"/>
            </w:tcMar>
          </w:tcPr>
          <w:p>
            <w:pPr>
              <w:spacing w:before="120" w:after="120" w:line="288" w:lineRule="auto"/>
              <w:ind w:left="0"/>
              <w:jc w:val="left"/>
            </w:pPr>
          </w:p>
        </w:tc>
        <w:tc>
          <w:tcPr>
            <w:tcW w:w="450" w:type="dxa"/>
            <w:hMerge w:val="continue"/>
            <w:tcMar>
              <w:top w:type="dxa" w:w="60"/>
              <w:left w:type="dxa" w:w="120"/>
              <w:bottom w:type="dxa" w:w="30"/>
              <w:right w:type="dxa" w:w="120"/>
            </w:tcMar>
          </w:tcPr>
          <w:p>
            <w:pPr>
              <w:spacing w:before="120" w:after="120" w:line="288" w:lineRule="auto"/>
              <w:ind w:left="0"/>
              <w:jc w:val="left"/>
            </w:pPr>
          </w:p>
        </w:tc>
        <w:tc>
          <w:tcPr>
            <w:tcW w:w="360"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0" w:id="0"/>
      <w:r>
        <w:rPr>
          <w:rFonts w:eastAsia="等线" w:ascii="Arial" w:cs="Arial" w:hAnsi="Arial"/>
          <w:b w:val="true"/>
          <w:sz w:val="30"/>
        </w:rPr>
        <w:t>一、</w:t>
      </w:r>
      <w:r>
        <w:rPr>
          <w:rFonts w:eastAsia="等线" w:ascii="Arial" w:cs="Arial" w:hAnsi="Arial"/>
          <w:b w:val="true"/>
          <w:sz w:val="30"/>
        </w:rPr>
        <w:t>每周销售进度发会议群，会上沟通销售端存在的问题及需求</w:t>
      </w:r>
      <w:bookmarkEnd w:id="0"/>
    </w:p>
    <w:p>
      <w:pPr>
        <w:numPr>
          <w:numId w:val="1"/>
        </w:numPr>
        <w:spacing w:before="120" w:after="120" w:line="288" w:lineRule="auto"/>
        <w:ind w:left="0"/>
        <w:jc w:val="left"/>
      </w:pPr>
      <w:r>
        <w:rPr>
          <w:rFonts w:eastAsia="等线" w:ascii="Arial" w:cs="Arial" w:hAnsi="Arial"/>
          <w:b w:val="true"/>
          <w:sz w:val="22"/>
        </w:rPr>
        <w:t>大件家具</w:t>
      </w:r>
      <w:r>
        <w:rPr>
          <w:rFonts w:eastAsia="等线" w:ascii="Arial" w:cs="Arial" w:hAnsi="Arial"/>
          <w:b w:val="true"/>
          <w:sz w:val="22"/>
        </w:rPr>
        <w:t>问题及处置</w:t>
      </w:r>
      <w:r>
        <w:rPr>
          <w:rFonts w:eastAsia="等线" w:ascii="Arial" w:cs="Arial" w:hAnsi="Arial"/>
          <w:b w:val="true"/>
          <w:sz w:val="22"/>
        </w:rPr>
        <w:t>：</w:t>
      </w:r>
    </w:p>
    <w:p>
      <w:pPr>
        <w:numPr>
          <w:numId w:val="2"/>
        </w:numPr>
        <w:spacing w:before="120" w:after="120" w:line="288" w:lineRule="auto"/>
        <w:ind w:left="453"/>
        <w:jc w:val="left"/>
      </w:pPr>
      <w:r>
        <w:rPr>
          <w:rFonts w:eastAsia="等线" w:ascii="Arial" w:cs="Arial" w:hAnsi="Arial"/>
          <w:sz w:val="22"/>
        </w:rPr>
        <w:t>玄关桌和边桌面临评分差、退货率高且库存积压的问题，当前策略为新建链接重新推广。</w:t>
      </w:r>
    </w:p>
    <w:p>
      <w:pPr>
        <w:numPr>
          <w:numId w:val="3"/>
        </w:numPr>
        <w:spacing w:before="120" w:after="120" w:line="288" w:lineRule="auto"/>
        <w:ind w:left="453"/>
        <w:jc w:val="left"/>
      </w:pPr>
      <w:r>
        <w:rPr>
          <w:rFonts w:eastAsia="等线" w:ascii="Arial" w:cs="Arial" w:hAnsi="Arial"/>
          <w:sz w:val="22"/>
        </w:rPr>
        <w:t>鉴于大件家具存在商检要求，分批发货会导致运作成本高且供应商配合困难，建议运营与计划部共同评估当前的一次性最大可发货量进行集中出货；针对剩余的尾数库存，可采取批量集中处置</w:t>
      </w:r>
      <w:r>
        <w:rPr>
          <w:rFonts w:eastAsia="等线" w:ascii="Arial" w:cs="Arial" w:hAnsi="Arial"/>
          <w:sz w:val="22"/>
        </w:rPr>
        <w:t>。</w:t>
      </w:r>
    </w:p>
    <w:p>
      <w:pPr>
        <w:numPr>
          <w:numId w:val="4"/>
        </w:numPr>
        <w:spacing w:before="120" w:after="120" w:line="288" w:lineRule="auto"/>
        <w:ind w:left="0"/>
        <w:jc w:val="left"/>
      </w:pPr>
      <w:r>
        <w:rPr>
          <w:rFonts w:eastAsia="等线" w:ascii="Arial" w:cs="Arial" w:hAnsi="Arial"/>
          <w:b w:val="true"/>
          <w:sz w:val="22"/>
        </w:rPr>
        <w:t>加拿大挂袋品线竞争应对：</w:t>
      </w:r>
    </w:p>
    <w:p>
      <w:pPr>
        <w:numPr>
          <w:numId w:val="5"/>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当前加拿大市场遭遇竞争对手以低品质产品低价冲击，我方应对挂袋产品的材质为 PVC，成本偏高，</w:t>
      </w:r>
      <w:r>
        <w:rPr>
          <w:rFonts w:eastAsia="等线" w:ascii="Arial" w:cs="Arial" w:hAnsi="Arial"/>
          <w:sz w:val="22"/>
        </w:rPr>
        <w:t>缺乏低端价格带的防御产品。</w:t>
      </w:r>
    </w:p>
    <w:p>
      <w:pPr>
        <w:numPr>
          <w:numId w:val="6"/>
        </w:numPr>
        <w:spacing w:before="120" w:after="120" w:line="288" w:lineRule="auto"/>
        <w:ind w:left="453"/>
        <w:jc w:val="left"/>
      </w:pPr>
      <w:r>
        <w:rPr>
          <w:rFonts w:eastAsia="等线" w:ascii="Arial" w:cs="Arial" w:hAnsi="Arial"/>
          <w:b w:val="true"/>
          <w:sz w:val="22"/>
        </w:rPr>
        <w:t>应对</w:t>
      </w:r>
      <w:r>
        <w:rPr>
          <w:rFonts w:eastAsia="等线" w:ascii="Arial" w:cs="Arial" w:hAnsi="Arial"/>
          <w:sz w:val="22"/>
        </w:rPr>
        <w:t>：产</w:t>
      </w:r>
      <w:r>
        <w:rPr>
          <w:rFonts w:eastAsia="等线" w:ascii="Arial" w:cs="Arial" w:hAnsi="Arial"/>
          <w:sz w:val="22"/>
        </w:rPr>
        <w:t>品端需对挂袋品线开发一款极致低价的产品</w:t>
      </w:r>
      <w:r>
        <w:rPr>
          <w:rFonts w:eastAsia="等线" w:ascii="Arial" w:cs="Arial" w:hAnsi="Arial"/>
          <w:sz w:val="22"/>
        </w:rPr>
        <w:t>。</w:t>
      </w:r>
    </w:p>
    <w:p>
      <w:pPr>
        <w:numPr>
          <w:numId w:val="7"/>
        </w:numPr>
        <w:spacing w:before="120" w:after="120" w:line="288" w:lineRule="auto"/>
        <w:ind w:left="0"/>
        <w:jc w:val="left"/>
      </w:pPr>
      <w:r>
        <w:rPr>
          <w:rFonts w:eastAsia="等线" w:ascii="Arial" w:cs="Arial" w:hAnsi="Arial"/>
          <w:b w:val="true"/>
          <w:sz w:val="22"/>
        </w:rPr>
        <w:t>岗位人员异动预警：</w:t>
      </w:r>
    </w:p>
    <w:p>
      <w:pPr>
        <w:numPr>
          <w:numId w:val="8"/>
        </w:numPr>
        <w:spacing w:before="120" w:after="120" w:line="288" w:lineRule="auto"/>
        <w:ind w:left="453"/>
        <w:jc w:val="left"/>
      </w:pPr>
      <w:r>
        <w:rPr>
          <w:rFonts w:eastAsia="等线" w:ascii="Arial" w:cs="Arial" w:hAnsi="Arial"/>
          <w:sz w:val="22"/>
        </w:rPr>
        <w:t>品牌、CPC及TK运营岗位出现人员异动，人力行政部需加快相关岗位的招聘进度，填补人员缺口。</w:t>
      </w:r>
    </w:p>
    <w:p>
      <w:pPr>
        <w:numPr>
          <w:numId w:val="9"/>
        </w:numPr>
        <w:spacing w:before="120" w:after="120" w:line="288" w:lineRule="auto"/>
        <w:ind w:left="0"/>
        <w:jc w:val="left"/>
      </w:pPr>
      <w:r>
        <w:rPr>
          <w:rFonts w:eastAsia="等线" w:ascii="Arial" w:cs="Arial" w:hAnsi="Arial"/>
          <w:b w:val="true"/>
          <w:sz w:val="22"/>
        </w:rPr>
        <w:t>产品与用户定位的思考逻辑：</w:t>
      </w:r>
    </w:p>
    <w:p>
      <w:pPr>
        <w:numPr>
          <w:numId w:val="10"/>
        </w:numPr>
        <w:spacing w:before="120" w:after="120" w:line="288" w:lineRule="auto"/>
        <w:ind w:left="453"/>
        <w:jc w:val="left"/>
      </w:pPr>
      <w:r>
        <w:rPr>
          <w:rFonts w:eastAsia="等线" w:ascii="Arial" w:cs="Arial" w:hAnsi="Arial"/>
          <w:b w:val="true"/>
          <w:sz w:val="22"/>
        </w:rPr>
        <w:t>全价格段布局战略：</w:t>
      </w:r>
      <w:r>
        <w:rPr>
          <w:rFonts w:eastAsia="等线" w:ascii="Arial" w:cs="Arial" w:hAnsi="Arial"/>
          <w:sz w:val="22"/>
        </w:rPr>
        <w:t xml:space="preserve"> 任何品线都需要考虑高、中、低价格带的完整布局。基于美国亚马逊目标用户多处于中低收入阶层，我们在开发与售卖产品时，也要合理兼顾低端价格带，去贴合这部分群体的真实喜好与买单能力。</w:t>
      </w:r>
    </w:p>
    <w:p>
      <w:pPr>
        <w:numPr>
          <w:numId w:val="11"/>
        </w:numPr>
        <w:spacing w:before="120" w:after="120" w:line="288" w:lineRule="auto"/>
        <w:ind w:left="453"/>
        <w:jc w:val="left"/>
      </w:pPr>
      <w:r>
        <w:rPr>
          <w:rFonts w:eastAsia="等线" w:ascii="Arial" w:cs="Arial" w:hAnsi="Arial"/>
          <w:b w:val="true"/>
          <w:sz w:val="22"/>
        </w:rPr>
        <w:t>摒弃主观偏好，回归用户视角：</w:t>
      </w:r>
      <w:r>
        <w:rPr>
          <w:rFonts w:eastAsia="等线" w:ascii="Arial" w:cs="Arial" w:hAnsi="Arial"/>
          <w:sz w:val="22"/>
        </w:rPr>
        <w:t xml:space="preserve"> 业务端</w:t>
      </w:r>
      <w:r>
        <w:rPr>
          <w:rFonts w:eastAsia="等线" w:ascii="Arial" w:cs="Arial" w:hAnsi="Arial"/>
          <w:sz w:val="22"/>
        </w:rPr>
        <w:t>要</w:t>
      </w:r>
      <w:r>
        <w:rPr>
          <w:rFonts w:eastAsia="等线" w:ascii="Arial" w:cs="Arial" w:hAnsi="Arial"/>
          <w:sz w:val="22"/>
        </w:rPr>
        <w:t>客观、理性的评估产品，尽量</w:t>
      </w:r>
      <w:r>
        <w:rPr>
          <w:rFonts w:eastAsia="等线" w:ascii="Arial" w:cs="Arial" w:hAnsi="Arial"/>
          <w:sz w:val="22"/>
        </w:rPr>
        <w:t>避免陷入“我觉得好看/好用”的主观视角。商业上更核心的衡量标准在于：我们的目标用户到底喜不喜欢？愿不愿意为它买单？ 评估产品应更多地从用户的真实需求出发，而非单纯依赖个人感觉。</w:t>
      </w:r>
    </w:p>
    <w:p>
      <w:pPr>
        <w:numPr>
          <w:numId w:val="12"/>
        </w:numPr>
        <w:spacing w:before="120" w:after="120" w:line="288" w:lineRule="auto"/>
        <w:ind w:left="453"/>
        <w:jc w:val="left"/>
      </w:pPr>
      <w:r>
        <w:rPr>
          <w:rFonts w:eastAsia="等线" w:ascii="Arial" w:cs="Arial" w:hAnsi="Arial"/>
          <w:b w:val="true"/>
          <w:sz w:val="22"/>
        </w:rPr>
        <w:t>参考真实的竞品市场反馈：</w:t>
      </w:r>
      <w:r>
        <w:rPr>
          <w:rFonts w:eastAsia="等线" w:ascii="Arial" w:cs="Arial" w:hAnsi="Arial"/>
          <w:sz w:val="22"/>
        </w:rPr>
        <w:t xml:space="preserve"> 评估市场需求时，竞争对手的畅销款是一个很好的参照物。如果竞品销量较高、客户评价较好，通常说明该产品的形态和价格已经被市场接纳。我们在做开发和销售决策时，应充分尊重和参考这些客观的市场结果，以真实的市场需求为准绳，减少脱离实际的臆断。</w:t>
      </w:r>
    </w:p>
    <w:p>
      <w:pPr>
        <w:numPr>
          <w:numId w:val="13"/>
        </w:numPr>
        <w:spacing w:before="120" w:after="120" w:line="288" w:lineRule="auto"/>
        <w:ind w:left="0"/>
        <w:jc w:val="left"/>
      </w:pPr>
      <w:r>
        <w:rPr>
          <w:rFonts w:eastAsia="等线" w:ascii="Arial" w:cs="Arial" w:hAnsi="Arial"/>
          <w:b w:val="true"/>
          <w:sz w:val="22"/>
        </w:rPr>
        <w:t>库存风险的分级管控与动态调整：</w:t>
      </w:r>
    </w:p>
    <w:p>
      <w:pPr>
        <w:numPr>
          <w:numId w:val="14"/>
        </w:numPr>
        <w:spacing w:before="120" w:after="120" w:line="288" w:lineRule="auto"/>
        <w:ind w:left="453"/>
        <w:jc w:val="left"/>
      </w:pPr>
      <w:r>
        <w:rPr>
          <w:rFonts w:eastAsia="等线" w:ascii="Arial" w:cs="Arial" w:hAnsi="Arial"/>
          <w:b w:val="true"/>
          <w:sz w:val="22"/>
        </w:rPr>
        <w:t>果断干预库存冗余：</w:t>
      </w:r>
      <w:r>
        <w:rPr>
          <w:rFonts w:eastAsia="等线" w:ascii="Arial" w:cs="Arial" w:hAnsi="Arial"/>
          <w:sz w:val="22"/>
        </w:rPr>
        <w:t xml:space="preserve"> 针对当前FBA整体库存较高（可售两三个月）的现状，接下来发货要特别注意，避免冗余。一旦发现库存偏离计划，须快速响应、大胆调整。</w:t>
      </w:r>
    </w:p>
    <w:p>
      <w:pPr>
        <w:numPr>
          <w:numId w:val="15"/>
        </w:numPr>
        <w:spacing w:before="120" w:after="120" w:line="288" w:lineRule="auto"/>
        <w:ind w:left="453"/>
        <w:jc w:val="left"/>
      </w:pPr>
      <w:r>
        <w:rPr>
          <w:rFonts w:eastAsia="等线" w:ascii="Arial" w:cs="Arial" w:hAnsi="Arial"/>
          <w:b w:val="true"/>
          <w:sz w:val="22"/>
        </w:rPr>
        <w:t>深</w:t>
      </w:r>
      <w:r>
        <w:rPr>
          <w:rFonts w:eastAsia="等线" w:ascii="Arial" w:cs="Arial" w:hAnsi="Arial"/>
          <w:b w:val="true"/>
          <w:sz w:val="22"/>
        </w:rPr>
        <w:t>度复盘春节备货：</w:t>
      </w:r>
      <w:r>
        <w:rPr>
          <w:rFonts w:eastAsia="等线" w:ascii="Arial" w:cs="Arial" w:hAnsi="Arial"/>
          <w:sz w:val="22"/>
        </w:rPr>
        <w:t xml:space="preserve"> 计划部</w:t>
      </w:r>
      <w:r>
        <w:rPr>
          <w:rFonts w:eastAsia="等线" w:ascii="Arial" w:cs="Arial" w:hAnsi="Arial"/>
          <w:sz w:val="22"/>
        </w:rPr>
        <w:t>需对</w:t>
      </w:r>
      <w:r>
        <w:rPr>
          <w:rFonts w:eastAsia="等线" w:ascii="Arial" w:cs="Arial" w:hAnsi="Arial"/>
          <w:sz w:val="22"/>
        </w:rPr>
        <w:t>春节前备发货工作进行复盘</w:t>
      </w:r>
      <w:r>
        <w:rPr>
          <w:rFonts w:eastAsia="等线" w:ascii="Arial" w:cs="Arial" w:hAnsi="Arial"/>
          <w:sz w:val="22"/>
        </w:rPr>
        <w:t>，</w:t>
      </w:r>
      <w:r>
        <w:rPr>
          <w:rFonts w:eastAsia="等线" w:ascii="Arial" w:cs="Arial" w:hAnsi="Arial"/>
          <w:sz w:val="22"/>
        </w:rPr>
        <w:t>总结经验规律，以此指导并提升明年春节的</w:t>
      </w:r>
      <w:r>
        <w:rPr>
          <w:rFonts w:eastAsia="等线" w:ascii="Arial" w:cs="Arial" w:hAnsi="Arial"/>
          <w:sz w:val="22"/>
        </w:rPr>
        <w:t>备发货</w:t>
      </w:r>
      <w:r>
        <w:rPr>
          <w:rFonts w:eastAsia="等线" w:ascii="Arial" w:cs="Arial" w:hAnsi="Arial"/>
          <w:sz w:val="22"/>
        </w:rPr>
        <w:t>策略。</w:t>
      </w:r>
    </w:p>
    <w:p>
      <w:pPr>
        <w:numPr>
          <w:numId w:val="16"/>
        </w:numPr>
        <w:spacing w:before="120" w:after="120" w:line="288" w:lineRule="auto"/>
        <w:ind w:left="453"/>
        <w:jc w:val="left"/>
      </w:pPr>
      <w:r>
        <w:rPr>
          <w:rFonts w:eastAsia="等线" w:ascii="Arial" w:cs="Arial" w:hAnsi="Arial"/>
          <w:b w:val="true"/>
          <w:sz w:val="22"/>
        </w:rPr>
        <w:t>实施分级管控：</w:t>
      </w:r>
      <w:r>
        <w:rPr>
          <w:rFonts w:eastAsia="等线" w:ascii="Arial" w:cs="Arial" w:hAnsi="Arial"/>
          <w:sz w:val="22"/>
        </w:rPr>
        <w:t xml:space="preserve"> 落实产品的分级分类库存管理。对于保证供应的核心产品，我们在做计划和预测时，要战略性地接受一定程度的库存冗余；</w:t>
      </w:r>
      <w:r>
        <w:rPr>
          <w:rFonts w:eastAsia="等线" w:ascii="Arial" w:cs="Arial" w:hAnsi="Arial"/>
          <w:sz w:val="22"/>
        </w:rPr>
        <w:t>而对于有些产品我们不能接受冗余，就意味着我们是可以接受短暂的紧缺或断货，</w:t>
      </w:r>
      <w:r>
        <w:rPr>
          <w:rFonts w:eastAsia="等线" w:ascii="Arial" w:cs="Arial" w:hAnsi="Arial"/>
          <w:sz w:val="22"/>
        </w:rPr>
        <w:t>总之不能用单一标准去管理所有产品。</w:t>
      </w:r>
    </w:p>
    <w:p>
      <w:pPr>
        <w:pStyle w:val="3"/>
        <w:spacing w:before="300" w:after="120" w:line="288" w:lineRule="auto"/>
        <w:ind w:left="0"/>
        <w:jc w:val="left"/>
        <w:outlineLvl w:val="2"/>
      </w:pPr>
      <w:bookmarkStart w:name="heading_1" w:id="1"/>
      <w:r>
        <w:rPr>
          <w:rFonts w:eastAsia="等线" w:ascii="Arial" w:cs="Arial" w:hAnsi="Arial"/>
          <w:b w:val="true"/>
          <w:sz w:val="30"/>
        </w:rPr>
        <w:t>二、上周看到的人和事带给自己的思考或疑惑</w:t>
      </w:r>
      <w:r>
        <w:rPr>
          <w:rFonts w:eastAsia="等线" w:ascii="Arial" w:cs="Arial" w:hAnsi="Arial"/>
          <w:b w:val="true"/>
          <w:sz w:val="30"/>
        </w:rPr>
        <w:t>：</w:t>
      </w:r>
      <w:bookmarkEnd w:id="1"/>
    </w:p>
    <w:p>
      <w:pPr>
        <w:pStyle w:val="5"/>
        <w:spacing w:before="240" w:after="120" w:line="288" w:lineRule="auto"/>
        <w:ind w:left="0"/>
        <w:jc w:val="left"/>
        <w:outlineLvl w:val="4"/>
      </w:pPr>
      <w:bookmarkStart w:name="heading_2" w:id="2"/>
      <w:r>
        <w:rPr>
          <w:rFonts w:eastAsia="等线" w:ascii="Arial" w:cs="Arial" w:hAnsi="Arial"/>
          <w:color w:val="3370ff"/>
          <w:sz w:val="24"/>
        </w:rPr>
        <w:t xml:space="preserve">1. </w:t>
      </w:r>
      <w:r>
        <w:rPr>
          <w:rFonts w:eastAsia="等线" w:ascii="Arial" w:cs="Arial" w:hAnsi="Arial"/>
          <w:b w:val="true"/>
          <w:sz w:val="24"/>
        </w:rPr>
        <w:t xml:space="preserve"> 管理层要多深入业务场景</w:t>
      </w:r>
      <w:bookmarkEnd w:id="2"/>
    </w:p>
    <w:p>
      <w:pPr>
        <w:numPr>
          <w:numId w:val="17"/>
        </w:numPr>
        <w:spacing w:before="120" w:after="120" w:line="288" w:lineRule="auto"/>
        <w:ind w:left="453"/>
        <w:jc w:val="left"/>
      </w:pPr>
      <w:r>
        <w:rPr>
          <w:rFonts w:eastAsia="等线" w:ascii="Arial" w:cs="Arial" w:hAnsi="Arial"/>
          <w:b w:val="true"/>
          <w:sz w:val="22"/>
        </w:rPr>
        <w:t>管理者要多“回到现场”：</w:t>
      </w:r>
      <w:r>
        <w:rPr>
          <w:rFonts w:eastAsia="等线" w:ascii="Arial" w:cs="Arial" w:hAnsi="Arial"/>
          <w:sz w:val="22"/>
        </w:rPr>
        <w:t xml:space="preserve"> 管理层不能脱离现场与基层，否则无法发现真实问题。管理者是团队事实上的“信息阀门”，对信息的理解深度和解读偏差，会直接关系到团队的运作效率与成本消耗。管理层需持续倒逼自己和团队，不断提升信息解码能力与对底层逻辑的把控力。</w:t>
      </w:r>
    </w:p>
    <w:p>
      <w:pPr>
        <w:numPr>
          <w:numId w:val="18"/>
        </w:numPr>
        <w:spacing w:before="120" w:after="120" w:line="288" w:lineRule="auto"/>
        <w:ind w:left="453"/>
        <w:jc w:val="left"/>
      </w:pPr>
      <w:r>
        <w:rPr>
          <w:rFonts w:eastAsia="等线" w:ascii="Arial" w:cs="Arial" w:hAnsi="Arial"/>
          <w:b w:val="true"/>
          <w:sz w:val="22"/>
        </w:rPr>
        <w:t>穿透表象，拷问业务本质：</w:t>
      </w:r>
      <w:r>
        <w:rPr>
          <w:rFonts w:eastAsia="等线" w:ascii="Arial" w:cs="Arial" w:hAnsi="Arial"/>
          <w:sz w:val="22"/>
        </w:rPr>
        <w:t xml:space="preserve"> 一线员工往往按部就班，“知其然不知其所以然”。这就要求管理者回到事物最本质的目的，用底层逻辑去重新审视现有的管理要求和作业流程，不断思考流程“是否合理”、“是否必要”，从而坚决杜绝“该做的没做，不该做的盲目做”的资源浪费现象。</w:t>
      </w:r>
    </w:p>
    <w:p>
      <w:pPr>
        <w:numPr>
          <w:numId w:val="19"/>
        </w:numPr>
        <w:spacing w:before="120" w:after="120" w:line="288" w:lineRule="auto"/>
        <w:ind w:left="0"/>
        <w:jc w:val="left"/>
      </w:pPr>
      <w:r>
        <w:rPr>
          <w:rFonts w:eastAsia="等线" w:ascii="Arial" w:cs="Arial" w:hAnsi="Arial"/>
          <w:b w:val="true"/>
          <w:sz w:val="22"/>
        </w:rPr>
        <w:t>“信息平权”下的经营者思维：</w:t>
      </w:r>
      <w:r>
        <w:rPr>
          <w:rFonts w:eastAsia="等线" w:ascii="Arial" w:cs="Arial" w:hAnsi="Arial"/>
          <w:sz w:val="22"/>
        </w:rPr>
        <w:t xml:space="preserve"> 步入ai时代，组织对事的规划能力、方向的制定及认知会有更高的要求</w:t>
      </w:r>
      <w:r>
        <w:rPr>
          <w:rFonts w:eastAsia="等线" w:ascii="Arial" w:cs="Arial" w:hAnsi="Arial"/>
          <w:sz w:val="22"/>
        </w:rPr>
        <w:t>，对人的管理的要求反而更低，此时管理</w:t>
      </w:r>
      <w:r>
        <w:rPr>
          <w:rFonts w:eastAsia="等线" w:ascii="Arial" w:cs="Arial" w:hAnsi="Arial"/>
          <w:sz w:val="22"/>
        </w:rPr>
        <w:t>者的经营思维</w:t>
      </w:r>
      <w:r>
        <w:rPr>
          <w:rFonts w:eastAsia="等线" w:ascii="Arial" w:cs="Arial" w:hAnsi="Arial"/>
          <w:sz w:val="22"/>
        </w:rPr>
        <w:t xml:space="preserve">显得愈发重要。未来必然是一个“信息平权与工具平权”的时代，同样的AI工具全员皆可获取，但工具平等不代表价值平等，人与人创造价值的鸿沟将进一步拉大。同样面对大模型，有人只用来问今天几度、穿什么衣服，而具备商业敏锐度的人却能直接用它来变现挣钱。 </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三、</w:t>
      </w:r>
      <w:r>
        <w:rPr>
          <w:rFonts w:eastAsia="等线" w:ascii="Arial" w:cs="Arial" w:hAnsi="Arial"/>
          <w:b w:val="true"/>
          <w:sz w:val="30"/>
        </w:rPr>
        <w:t>计划启动的工作需要大家提前知悉或进行意见征询的</w:t>
      </w:r>
      <w:bookmarkEnd w:id="3"/>
    </w:p>
    <w:p>
      <w:pPr>
        <w:pStyle w:val="4"/>
        <w:spacing w:before="260" w:after="120" w:line="288" w:lineRule="auto"/>
        <w:ind w:left="0"/>
        <w:jc w:val="left"/>
        <w:outlineLvl w:val="3"/>
      </w:pPr>
      <w:bookmarkStart w:name="heading_4" w:id="4"/>
      <w:r>
        <w:rPr>
          <w:rFonts w:eastAsia="等线" w:ascii="Arial" w:cs="Arial" w:hAnsi="Arial"/>
          <w:b w:val="true"/>
          <w:sz w:val="28"/>
        </w:rPr>
        <w:t>经管部</w:t>
      </w:r>
      <w:bookmarkEnd w:id="4"/>
    </w:p>
    <w:p>
      <w:pPr>
        <w:numPr>
          <w:numId w:val="20"/>
        </w:numPr>
        <w:spacing w:before="120" w:after="120" w:line="288" w:lineRule="auto"/>
        <w:ind w:left="0"/>
        <w:jc w:val="left"/>
      </w:pPr>
      <w:r>
        <w:rPr>
          <w:rFonts w:eastAsia="等线" w:ascii="Arial" w:cs="Arial" w:hAnsi="Arial"/>
          <w:b w:val="true"/>
          <w:sz w:val="22"/>
        </w:rPr>
        <w:t>课题改善结项：</w:t>
      </w:r>
      <w:r>
        <w:rPr>
          <w:rFonts w:eastAsia="等线" w:ascii="Arial" w:cs="Arial" w:hAnsi="Arial"/>
          <w:sz w:val="22"/>
        </w:rPr>
        <w:t xml:space="preserve"> 2026年度专项改善课题申报将于本周末截止，尚未提报课题改善申请的部门需抓紧落实。</w:t>
      </w:r>
    </w:p>
    <w:p>
      <w:pPr>
        <w:numPr>
          <w:numId w:val="21"/>
        </w:numPr>
        <w:spacing w:before="120" w:after="120" w:line="288" w:lineRule="auto"/>
        <w:ind w:left="0"/>
        <w:jc w:val="left"/>
      </w:pPr>
      <w:r>
        <w:rPr>
          <w:rFonts w:eastAsia="等线" w:ascii="Arial" w:cs="Arial" w:hAnsi="Arial"/>
          <w:b w:val="true"/>
          <w:sz w:val="22"/>
        </w:rPr>
        <w:t>标准化作业推进：</w:t>
      </w:r>
      <w:r>
        <w:rPr>
          <w:rFonts w:eastAsia="等线" w:ascii="Arial" w:cs="Arial" w:hAnsi="Arial"/>
          <w:sz w:val="22"/>
        </w:rPr>
        <w:t xml:space="preserve"> </w:t>
      </w:r>
    </w:p>
    <w:p>
      <w:pPr>
        <w:numPr>
          <w:numId w:val="22"/>
        </w:numPr>
        <w:spacing w:before="120" w:after="120" w:line="288" w:lineRule="auto"/>
        <w:ind w:left="453"/>
        <w:jc w:val="left"/>
      </w:pPr>
      <w:r>
        <w:rPr>
          <w:rFonts w:eastAsia="等线" w:ascii="Arial" w:cs="Arial" w:hAnsi="Arial"/>
          <w:sz w:val="22"/>
        </w:rPr>
        <w:t>刘雨本周与冷总沟通思路，再跟具体子项负责人共识；</w:t>
      </w:r>
    </w:p>
    <w:p>
      <w:pPr>
        <w:numPr>
          <w:numId w:val="23"/>
        </w:numPr>
        <w:spacing w:before="120" w:after="120" w:line="288" w:lineRule="auto"/>
        <w:ind w:left="453"/>
        <w:jc w:val="left"/>
      </w:pPr>
      <w:r>
        <w:rPr>
          <w:rFonts w:eastAsia="等线" w:ascii="Arial" w:cs="Arial" w:hAnsi="Arial"/>
          <w:sz w:val="22"/>
        </w:rPr>
        <w:t>本周雷佳与周立军沟通其负责的3个标准化作业子项的规划安排</w:t>
      </w:r>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5" w:id="5"/>
      <w:r>
        <w:rPr>
          <w:rFonts w:eastAsia="等线" w:ascii="Arial" w:cs="Arial" w:hAnsi="Arial"/>
          <w:b w:val="true"/>
          <w:sz w:val="28"/>
        </w:rPr>
        <w:t>营销中心</w:t>
      </w:r>
      <w:bookmarkEnd w:id="5"/>
    </w:p>
    <w:p>
      <w:pPr>
        <w:numPr>
          <w:numId w:val="24"/>
        </w:numPr>
        <w:spacing w:before="120" w:after="120" w:line="288" w:lineRule="auto"/>
        <w:ind w:left="0"/>
        <w:jc w:val="left"/>
      </w:pPr>
      <w:r>
        <w:rPr>
          <w:rFonts w:eastAsia="等线" w:ascii="Arial" w:cs="Arial" w:hAnsi="Arial"/>
          <w:sz w:val="22"/>
        </w:rPr>
        <w:t>启动第一阶段经营数据数字化需求的梳理工作。</w:t>
      </w:r>
    </w:p>
    <w:p>
      <w:pPr>
        <w:numPr>
          <w:numId w:val="25"/>
        </w:numPr>
        <w:spacing w:before="120" w:after="120" w:line="288" w:lineRule="auto"/>
        <w:ind w:left="0"/>
        <w:jc w:val="left"/>
      </w:pPr>
      <w:r>
        <w:rPr>
          <w:rFonts w:eastAsia="等线" w:ascii="Arial" w:cs="Arial" w:hAnsi="Arial"/>
          <w:sz w:val="22"/>
        </w:rPr>
        <w:t>推进“新秀运营”的课件优化。</w:t>
      </w:r>
    </w:p>
    <w:p>
      <w:pPr>
        <w:spacing w:before="120" w:after="120" w:line="288" w:lineRule="auto"/>
        <w:ind w:left="0"/>
        <w:jc w:val="left"/>
      </w:pPr>
    </w:p>
    <w:p>
      <w:pPr>
        <w:pStyle w:val="4"/>
        <w:spacing w:before="260" w:after="120" w:line="288" w:lineRule="auto"/>
        <w:ind w:left="0"/>
        <w:jc w:val="left"/>
        <w:outlineLvl w:val="3"/>
      </w:pPr>
      <w:bookmarkStart w:name="heading_6" w:id="6"/>
      <w:r>
        <w:rPr>
          <w:rFonts w:eastAsia="等线" w:ascii="Arial" w:cs="Arial" w:hAnsi="Arial"/>
          <w:b w:val="true"/>
          <w:sz w:val="28"/>
        </w:rPr>
        <w:t>IT</w:t>
      </w:r>
      <w:bookmarkEnd w:id="6"/>
    </w:p>
    <w:p>
      <w:pPr>
        <w:numPr>
          <w:numId w:val="26"/>
        </w:numPr>
        <w:spacing w:before="120" w:after="120" w:line="288" w:lineRule="auto"/>
        <w:ind w:left="0"/>
        <w:jc w:val="left"/>
      </w:pPr>
      <w:r>
        <w:rPr>
          <w:rFonts w:eastAsia="等线" w:ascii="Arial" w:cs="Arial" w:hAnsi="Arial"/>
          <w:b w:val="true"/>
          <w:sz w:val="22"/>
        </w:rPr>
        <w:t>商检流程线上化和MRP项目：</w:t>
      </w:r>
      <w:r>
        <w:rPr>
          <w:rFonts w:eastAsia="等线" w:ascii="Arial" w:cs="Arial" w:hAnsi="Arial"/>
          <w:sz w:val="22"/>
        </w:rPr>
        <w:t xml:space="preserve"> 本月输出IT方案，评估并推进开发。</w:t>
      </w:r>
    </w:p>
    <w:p>
      <w:pPr>
        <w:numPr>
          <w:numId w:val="27"/>
        </w:numPr>
        <w:spacing w:before="120" w:after="120" w:line="288" w:lineRule="auto"/>
        <w:ind w:left="0"/>
        <w:jc w:val="left"/>
      </w:pPr>
      <w:r>
        <w:rPr>
          <w:rFonts w:eastAsia="等线" w:ascii="Arial" w:cs="Arial" w:hAnsi="Arial"/>
          <w:b w:val="true"/>
          <w:sz w:val="22"/>
        </w:rPr>
        <w:t>提货项目体验优化：</w:t>
      </w:r>
      <w:r>
        <w:rPr>
          <w:rFonts w:eastAsia="等线" w:ascii="Arial" w:cs="Arial" w:hAnsi="Arial"/>
          <w:sz w:val="22"/>
        </w:rPr>
        <w:t>计划本周攻克送货端卡点，下周解决质检验货端问题，最后一周打通仓库端闭环，下月起转入常规系统维护阶段。</w:t>
      </w:r>
    </w:p>
    <w:p>
      <w:pPr>
        <w:spacing w:before="120" w:after="120" w:line="288" w:lineRule="auto"/>
        <w:ind w:left="0"/>
        <w:jc w:val="left"/>
      </w:pPr>
    </w:p>
    <w:p>
      <w:pPr>
        <w:pStyle w:val="4"/>
        <w:spacing w:before="260" w:after="120" w:line="288" w:lineRule="auto"/>
        <w:ind w:left="0"/>
        <w:jc w:val="left"/>
        <w:outlineLvl w:val="3"/>
      </w:pPr>
      <w:bookmarkStart w:name="heading_7" w:id="7"/>
      <w:r>
        <w:rPr>
          <w:rFonts w:eastAsia="等线" w:ascii="Arial" w:cs="Arial" w:hAnsi="Arial"/>
          <w:b w:val="true"/>
          <w:sz w:val="28"/>
        </w:rPr>
        <w:t>计划与物流中心</w:t>
      </w:r>
      <w:bookmarkEnd w:id="7"/>
    </w:p>
    <w:p>
      <w:pPr>
        <w:numPr>
          <w:numId w:val="28"/>
        </w:numPr>
        <w:spacing w:before="120" w:after="120" w:line="288" w:lineRule="auto"/>
        <w:ind w:left="0"/>
        <w:jc w:val="left"/>
      </w:pPr>
      <w:r>
        <w:rPr>
          <w:rFonts w:eastAsia="等线" w:ascii="Arial" w:cs="Arial" w:hAnsi="Arial"/>
          <w:b w:val="true"/>
          <w:sz w:val="22"/>
        </w:rPr>
        <w:t>需求跟进：</w:t>
      </w:r>
      <w:r>
        <w:rPr>
          <w:rFonts w:eastAsia="等线" w:ascii="Arial" w:cs="Arial" w:hAnsi="Arial"/>
          <w:sz w:val="22"/>
        </w:rPr>
        <w:t xml:space="preserve"> BI需求已与IT完成初步对接，预计两周内完成评估，整体开发周期预计超3个月；MRP系统第一版设计思路已出，本周内确认方案，计划下周组织相关人员讨论。</w:t>
      </w:r>
    </w:p>
    <w:p>
      <w:pPr>
        <w:numPr>
          <w:numId w:val="29"/>
        </w:numPr>
        <w:spacing w:before="120" w:after="120" w:line="288" w:lineRule="auto"/>
        <w:ind w:left="0"/>
        <w:jc w:val="left"/>
      </w:pPr>
      <w:r>
        <w:rPr>
          <w:rFonts w:eastAsia="等线" w:ascii="Arial" w:cs="Arial" w:hAnsi="Arial"/>
          <w:b w:val="true"/>
          <w:sz w:val="22"/>
        </w:rPr>
        <w:t>SMP业务扩量：</w:t>
      </w:r>
      <w:r>
        <w:rPr>
          <w:rFonts w:eastAsia="等线" w:ascii="Arial" w:cs="Arial" w:hAnsi="Arial"/>
          <w:sz w:val="22"/>
        </w:rPr>
        <w:t xml:space="preserve"> 本周起将定期统计SMP发货占比情况，联合相关部门加大该模式的推进力度。</w:t>
      </w:r>
    </w:p>
    <w:p>
      <w:pPr>
        <w:spacing w:before="120" w:after="120" w:line="288" w:lineRule="auto"/>
        <w:ind w:left="0"/>
        <w:jc w:val="left"/>
      </w:pPr>
    </w:p>
    <w:p>
      <w:pPr>
        <w:pStyle w:val="4"/>
        <w:spacing w:before="260" w:after="120" w:line="288" w:lineRule="auto"/>
        <w:ind w:left="0"/>
        <w:jc w:val="left"/>
        <w:outlineLvl w:val="3"/>
      </w:pPr>
      <w:bookmarkStart w:name="heading_8" w:id="8"/>
      <w:r>
        <w:rPr>
          <w:rFonts w:eastAsia="等线" w:ascii="Arial" w:cs="Arial" w:hAnsi="Arial"/>
          <w:b w:val="true"/>
          <w:sz w:val="28"/>
        </w:rPr>
        <w:t>财务部</w:t>
      </w:r>
      <w:bookmarkEnd w:id="8"/>
    </w:p>
    <w:p>
      <w:pPr>
        <w:numPr>
          <w:numId w:val="30"/>
        </w:numPr>
        <w:spacing w:before="120" w:after="120" w:line="288" w:lineRule="auto"/>
        <w:ind w:left="0"/>
        <w:jc w:val="left"/>
      </w:pPr>
      <w:r>
        <w:rPr>
          <w:rFonts w:eastAsia="等线" w:ascii="Arial" w:cs="Arial" w:hAnsi="Arial"/>
          <w:b w:val="true"/>
          <w:sz w:val="22"/>
        </w:rPr>
        <w:t>税务风险与邮件责任制：</w:t>
      </w:r>
    </w:p>
    <w:p>
      <w:pPr>
        <w:numPr>
          <w:numId w:val="31"/>
        </w:numPr>
        <w:spacing w:before="120" w:after="120" w:line="288" w:lineRule="auto"/>
        <w:ind w:left="453"/>
        <w:jc w:val="left"/>
      </w:pPr>
      <w:r>
        <w:rPr>
          <w:rFonts w:eastAsia="等线" w:ascii="Arial" w:cs="Arial" w:hAnsi="Arial"/>
          <w:sz w:val="22"/>
        </w:rPr>
        <w:t xml:space="preserve"> </w:t>
      </w:r>
      <w:r>
        <w:rPr>
          <w:rFonts w:eastAsia="等线" w:ascii="Arial" w:cs="Arial" w:hAnsi="Arial"/>
          <w:sz w:val="22"/>
        </w:rPr>
        <w:t>德国JINKAI账户遭遇查税</w:t>
      </w:r>
      <w:r>
        <w:rPr>
          <w:rFonts w:eastAsia="等线" w:ascii="Arial" w:cs="Arial" w:hAnsi="Arial"/>
          <w:sz w:val="22"/>
        </w:rPr>
        <w:t>，</w:t>
      </w:r>
      <w:r>
        <w:rPr>
          <w:rFonts w:eastAsia="等线" w:ascii="Arial" w:cs="Arial" w:hAnsi="Arial"/>
          <w:sz w:val="22"/>
        </w:rPr>
        <w:t>运营需配合财务提供21年和22年的税务申报数据；同时运营关注世通账户等其他账户是否有税务相关的邮件</w:t>
      </w:r>
      <w:r>
        <w:rPr>
          <w:rFonts w:eastAsia="等线" w:ascii="Arial" w:cs="Arial" w:hAnsi="Arial"/>
          <w:sz w:val="22"/>
        </w:rPr>
        <w:t>，</w:t>
      </w:r>
      <w:r>
        <w:rPr>
          <w:rFonts w:eastAsia="等线" w:ascii="Arial" w:cs="Arial" w:hAnsi="Arial"/>
          <w:sz w:val="22"/>
        </w:rPr>
        <w:t>如有发现需及时反馈财务部。</w:t>
      </w:r>
    </w:p>
    <w:p>
      <w:pPr>
        <w:numPr>
          <w:numId w:val="32"/>
        </w:numPr>
        <w:spacing w:before="120" w:after="120" w:line="288" w:lineRule="auto"/>
        <w:ind w:left="453"/>
        <w:jc w:val="left"/>
      </w:pPr>
      <w:r>
        <w:rPr>
          <w:rFonts w:eastAsia="等线" w:ascii="Arial" w:cs="Arial" w:hAnsi="Arial"/>
          <w:sz w:val="22"/>
        </w:rPr>
        <w:t>运营端需落实“账号邮件责任人制”，由负责人定期查看账号接收</w:t>
      </w:r>
      <w:r>
        <w:rPr>
          <w:rFonts w:eastAsia="等线" w:ascii="Arial" w:cs="Arial" w:hAnsi="Arial"/>
          <w:sz w:val="22"/>
        </w:rPr>
        <w:t>的官方邮件。</w:t>
      </w:r>
    </w:p>
    <w:p>
      <w:pPr>
        <w:numPr>
          <w:numId w:val="33"/>
        </w:numPr>
        <w:spacing w:before="120" w:after="120" w:line="288" w:lineRule="auto"/>
        <w:ind w:left="0"/>
        <w:jc w:val="left"/>
      </w:pPr>
      <w:r>
        <w:rPr>
          <w:rFonts w:eastAsia="等线" w:ascii="Arial" w:cs="Arial" w:hAnsi="Arial"/>
          <w:b w:val="true"/>
          <w:sz w:val="22"/>
        </w:rPr>
        <w:t>异常供应商税务评估：</w:t>
      </w:r>
      <w:r>
        <w:rPr>
          <w:rFonts w:eastAsia="等线" w:ascii="Arial" w:cs="Arial" w:hAnsi="Arial"/>
          <w:sz w:val="22"/>
        </w:rPr>
        <w:t xml:space="preserve"> 针对某不合作的供应商，财务部本周将拉取明细数据（涵盖可能发生的损失及已确定损失），出具税务评估报告；后续需由Alter</w:t>
      </w:r>
      <w:r>
        <w:rPr>
          <w:rFonts w:eastAsia="等线" w:ascii="Arial" w:cs="Arial" w:hAnsi="Arial"/>
          <w:sz w:val="22"/>
        </w:rPr>
        <w:t>出面与供应商做具体沟通</w:t>
      </w:r>
      <w:r>
        <w:rPr>
          <w:rFonts w:eastAsia="等线" w:ascii="Arial" w:cs="Arial" w:hAnsi="Arial"/>
          <w:sz w:val="22"/>
        </w:rPr>
        <w:t>。</w:t>
      </w:r>
    </w:p>
    <w:p>
      <w:pPr>
        <w:numPr>
          <w:numId w:val="34"/>
        </w:numPr>
        <w:spacing w:before="120" w:after="120" w:line="288" w:lineRule="auto"/>
        <w:ind w:left="0"/>
        <w:jc w:val="left"/>
      </w:pPr>
      <w:r>
        <w:rPr>
          <w:rFonts w:eastAsia="等线" w:ascii="Arial" w:cs="Arial" w:hAnsi="Arial"/>
          <w:sz w:val="22"/>
        </w:rPr>
        <w:t>运营部需每周关注超期库存情况，及时清理已停售链接的退货库存，避免被收长期仓储费。</w:t>
      </w:r>
    </w:p>
    <w:p>
      <w:pPr>
        <w:spacing w:before="120" w:after="120" w:line="288" w:lineRule="auto"/>
        <w:ind w:left="0"/>
        <w:jc w:val="left"/>
      </w:pPr>
    </w:p>
    <w:p>
      <w:pPr>
        <w:pStyle w:val="4"/>
        <w:spacing w:before="260" w:after="120" w:line="288" w:lineRule="auto"/>
        <w:ind w:left="0"/>
        <w:jc w:val="left"/>
        <w:outlineLvl w:val="3"/>
      </w:pPr>
      <w:bookmarkStart w:name="heading_9" w:id="9"/>
      <w:r>
        <w:rPr>
          <w:rFonts w:eastAsia="等线" w:ascii="Arial" w:cs="Arial" w:hAnsi="Arial"/>
          <w:b w:val="true"/>
          <w:sz w:val="28"/>
        </w:rPr>
        <w:t>产品中心</w:t>
      </w:r>
      <w:bookmarkEnd w:id="9"/>
    </w:p>
    <w:p>
      <w:pPr>
        <w:numPr>
          <w:numId w:val="35"/>
        </w:numPr>
        <w:spacing w:before="120" w:after="120" w:line="288" w:lineRule="auto"/>
        <w:ind w:left="0"/>
        <w:jc w:val="left"/>
      </w:pPr>
      <w:r>
        <w:rPr>
          <w:rFonts w:eastAsia="等线" w:ascii="Arial" w:cs="Arial" w:hAnsi="Arial"/>
          <w:b w:val="true"/>
          <w:sz w:val="22"/>
        </w:rPr>
        <w:t>打样效率提升：</w:t>
      </w:r>
      <w:r>
        <w:rPr>
          <w:rFonts w:eastAsia="等线" w:ascii="Arial" w:cs="Arial" w:hAnsi="Arial"/>
          <w:sz w:val="22"/>
        </w:rPr>
        <w:t xml:space="preserve"> 计划和Alter讨论提升打样效率提升的方式，现阶段想法是，今后打样、报价环节，从月度供应商评分表中，挑选1-2家过往响应速度快、质量优的标杆供应商作为基准，优先考虑合作该类优质工厂，以此倒逼整体打样与开发效率的提升。</w:t>
      </w:r>
    </w:p>
    <w:p>
      <w:pPr>
        <w:numPr>
          <w:numId w:val="36"/>
        </w:numPr>
        <w:spacing w:before="120" w:after="120" w:line="288" w:lineRule="auto"/>
        <w:ind w:left="0"/>
        <w:jc w:val="left"/>
      </w:pPr>
      <w:r>
        <w:rPr>
          <w:rFonts w:eastAsia="等线" w:ascii="Arial" w:cs="Arial" w:hAnsi="Arial"/>
          <w:b w:val="true"/>
          <w:sz w:val="22"/>
        </w:rPr>
        <w:t>开发产品推进：</w:t>
      </w:r>
      <w:r>
        <w:rPr>
          <w:rFonts w:eastAsia="等线" w:ascii="Arial" w:cs="Arial" w:hAnsi="Arial"/>
          <w:sz w:val="22"/>
        </w:rPr>
        <w:t xml:space="preserve"> Alter需协助核实并督促仍未完成打样的供应商进度；继续推进浴室落地架的降本报价工作。</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240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点击图片可查看完整表格</w:t>
      </w:r>
    </w:p>
    <w:p>
      <w:pPr>
        <w:spacing w:before="120" w:after="120" w:line="288" w:lineRule="auto"/>
        <w:ind w:left="0"/>
        <w:jc w:val="left"/>
      </w:pPr>
    </w:p>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810269">
    <w:lvl>
      <w:start w:val="1"/>
      <w:numFmt w:val="decimal"/>
      <w:suff w:val="tab"/>
      <w:lvlText w:val="%1."/>
      <w:rPr>
        <w:color w:val="3370ff"/>
      </w:rPr>
    </w:lvl>
  </w:abstractNum>
  <w:abstractNum w:abstractNumId="810270">
    <w:lvl>
      <w:numFmt w:val="bullet"/>
      <w:suff w:val="tab"/>
      <w:lvlText w:val="￮"/>
      <w:rPr>
        <w:color w:val="3370ff"/>
      </w:rPr>
    </w:lvl>
  </w:abstractNum>
  <w:abstractNum w:abstractNumId="810271">
    <w:lvl>
      <w:numFmt w:val="bullet"/>
      <w:suff w:val="tab"/>
      <w:lvlText w:val="￮"/>
      <w:rPr>
        <w:color w:val="3370ff"/>
      </w:rPr>
    </w:lvl>
  </w:abstractNum>
  <w:abstractNum w:abstractNumId="810272">
    <w:lvl>
      <w:start w:val="2"/>
      <w:numFmt w:val="decimal"/>
      <w:suff w:val="tab"/>
      <w:lvlText w:val="%1."/>
      <w:rPr>
        <w:color w:val="3370ff"/>
      </w:rPr>
    </w:lvl>
  </w:abstractNum>
  <w:abstractNum w:abstractNumId="810273">
    <w:lvl>
      <w:numFmt w:val="bullet"/>
      <w:suff w:val="tab"/>
      <w:lvlText w:val="￮"/>
      <w:rPr>
        <w:color w:val="3370ff"/>
      </w:rPr>
    </w:lvl>
  </w:abstractNum>
  <w:abstractNum w:abstractNumId="810274">
    <w:lvl>
      <w:numFmt w:val="bullet"/>
      <w:suff w:val="tab"/>
      <w:lvlText w:val="￮"/>
      <w:rPr>
        <w:color w:val="3370ff"/>
      </w:rPr>
    </w:lvl>
  </w:abstractNum>
  <w:abstractNum w:abstractNumId="810275">
    <w:lvl>
      <w:start w:val="3"/>
      <w:numFmt w:val="decimal"/>
      <w:suff w:val="tab"/>
      <w:lvlText w:val="%1."/>
      <w:rPr>
        <w:color w:val="3370ff"/>
      </w:rPr>
    </w:lvl>
  </w:abstractNum>
  <w:abstractNum w:abstractNumId="810276">
    <w:lvl>
      <w:numFmt w:val="bullet"/>
      <w:suff w:val="tab"/>
      <w:lvlText w:val="￮"/>
      <w:rPr>
        <w:color w:val="3370ff"/>
      </w:rPr>
    </w:lvl>
  </w:abstractNum>
  <w:abstractNum w:abstractNumId="810277">
    <w:lvl>
      <w:start w:val="4"/>
      <w:numFmt w:val="decimal"/>
      <w:suff w:val="tab"/>
      <w:lvlText w:val="%1."/>
      <w:rPr>
        <w:color w:val="3370ff"/>
      </w:rPr>
    </w:lvl>
  </w:abstractNum>
  <w:abstractNum w:abstractNumId="810278">
    <w:lvl>
      <w:numFmt w:val="bullet"/>
      <w:suff w:val="tab"/>
      <w:lvlText w:val="￮"/>
      <w:rPr>
        <w:color w:val="3370ff"/>
      </w:rPr>
    </w:lvl>
  </w:abstractNum>
  <w:abstractNum w:abstractNumId="810279">
    <w:lvl>
      <w:numFmt w:val="bullet"/>
      <w:suff w:val="tab"/>
      <w:lvlText w:val="￮"/>
      <w:rPr>
        <w:color w:val="3370ff"/>
      </w:rPr>
    </w:lvl>
  </w:abstractNum>
  <w:abstractNum w:abstractNumId="810280">
    <w:lvl>
      <w:numFmt w:val="bullet"/>
      <w:suff w:val="tab"/>
      <w:lvlText w:val="￮"/>
      <w:rPr>
        <w:color w:val="3370ff"/>
      </w:rPr>
    </w:lvl>
  </w:abstractNum>
  <w:abstractNum w:abstractNumId="810281">
    <w:lvl>
      <w:start w:val="5"/>
      <w:numFmt w:val="decimal"/>
      <w:suff w:val="tab"/>
      <w:lvlText w:val="%1."/>
      <w:rPr>
        <w:color w:val="3370ff"/>
      </w:rPr>
    </w:lvl>
  </w:abstractNum>
  <w:abstractNum w:abstractNumId="810282">
    <w:lvl>
      <w:numFmt w:val="bullet"/>
      <w:suff w:val="tab"/>
      <w:lvlText w:val="￮"/>
      <w:rPr>
        <w:color w:val="3370ff"/>
      </w:rPr>
    </w:lvl>
  </w:abstractNum>
  <w:abstractNum w:abstractNumId="810283">
    <w:lvl>
      <w:numFmt w:val="bullet"/>
      <w:suff w:val="tab"/>
      <w:lvlText w:val="￮"/>
      <w:rPr>
        <w:color w:val="3370ff"/>
      </w:rPr>
    </w:lvl>
  </w:abstractNum>
  <w:abstractNum w:abstractNumId="810284">
    <w:lvl>
      <w:numFmt w:val="bullet"/>
      <w:suff w:val="tab"/>
      <w:lvlText w:val="￮"/>
      <w:rPr>
        <w:color w:val="3370ff"/>
      </w:rPr>
    </w:lvl>
  </w:abstractNum>
  <w:abstractNum w:abstractNumId="810285">
    <w:lvl>
      <w:numFmt w:val="bullet"/>
      <w:suff w:val="tab"/>
      <w:lvlText w:val="￮"/>
      <w:rPr>
        <w:color w:val="3370ff"/>
      </w:rPr>
    </w:lvl>
  </w:abstractNum>
  <w:abstractNum w:abstractNumId="810286">
    <w:lvl>
      <w:numFmt w:val="bullet"/>
      <w:suff w:val="tab"/>
      <w:lvlText w:val="￮"/>
      <w:rPr>
        <w:color w:val="3370ff"/>
      </w:rPr>
    </w:lvl>
  </w:abstractNum>
  <w:abstractNum w:abstractNumId="810287">
    <w:lvl>
      <w:start w:val="2"/>
      <w:numFmt w:val="decimal"/>
      <w:suff w:val="tab"/>
      <w:lvlText w:val="%1."/>
      <w:rPr>
        <w:color w:val="3370ff"/>
      </w:rPr>
    </w:lvl>
  </w:abstractNum>
  <w:abstractNum w:abstractNumId="810288">
    <w:lvl>
      <w:start w:val="1"/>
      <w:numFmt w:val="decimal"/>
      <w:suff w:val="tab"/>
      <w:lvlText w:val="%1."/>
      <w:rPr>
        <w:color w:val="3370ff"/>
      </w:rPr>
    </w:lvl>
  </w:abstractNum>
  <w:abstractNum w:abstractNumId="810289">
    <w:lvl>
      <w:start w:val="2"/>
      <w:numFmt w:val="decimal"/>
      <w:suff w:val="tab"/>
      <w:lvlText w:val="%1."/>
      <w:rPr>
        <w:color w:val="3370ff"/>
      </w:rPr>
    </w:lvl>
  </w:abstractNum>
  <w:abstractNum w:abstractNumId="810290">
    <w:lvl>
      <w:numFmt w:val="bullet"/>
      <w:suff w:val="tab"/>
      <w:lvlText w:val="￮"/>
      <w:rPr>
        <w:color w:val="3370ff"/>
      </w:rPr>
    </w:lvl>
  </w:abstractNum>
  <w:abstractNum w:abstractNumId="810291">
    <w:lvl>
      <w:numFmt w:val="bullet"/>
      <w:suff w:val="tab"/>
      <w:lvlText w:val="￮"/>
      <w:rPr>
        <w:color w:val="3370ff"/>
      </w:rPr>
    </w:lvl>
  </w:abstractNum>
  <w:abstractNum w:abstractNumId="810292">
    <w:lvl>
      <w:start w:val="1"/>
      <w:numFmt w:val="decimal"/>
      <w:suff w:val="tab"/>
      <w:lvlText w:val="%1."/>
      <w:rPr>
        <w:color w:val="3370ff"/>
      </w:rPr>
    </w:lvl>
  </w:abstractNum>
  <w:abstractNum w:abstractNumId="810293">
    <w:lvl>
      <w:start w:val="2"/>
      <w:numFmt w:val="decimal"/>
      <w:suff w:val="tab"/>
      <w:lvlText w:val="%1."/>
      <w:rPr>
        <w:color w:val="3370ff"/>
      </w:rPr>
    </w:lvl>
  </w:abstractNum>
  <w:abstractNum w:abstractNumId="810294">
    <w:lvl>
      <w:start w:val="1"/>
      <w:numFmt w:val="decimal"/>
      <w:suff w:val="tab"/>
      <w:lvlText w:val="%1."/>
      <w:rPr>
        <w:color w:val="3370ff"/>
      </w:rPr>
    </w:lvl>
  </w:abstractNum>
  <w:abstractNum w:abstractNumId="810295">
    <w:lvl>
      <w:start w:val="3"/>
      <w:numFmt w:val="decimal"/>
      <w:suff w:val="tab"/>
      <w:lvlText w:val="%1."/>
      <w:rPr>
        <w:color w:val="3370ff"/>
      </w:rPr>
    </w:lvl>
  </w:abstractNum>
  <w:abstractNum w:abstractNumId="810296">
    <w:lvl>
      <w:start w:val="1"/>
      <w:numFmt w:val="decimal"/>
      <w:suff w:val="tab"/>
      <w:lvlText w:val="%1."/>
      <w:rPr>
        <w:color w:val="3370ff"/>
      </w:rPr>
    </w:lvl>
  </w:abstractNum>
  <w:abstractNum w:abstractNumId="810297">
    <w:lvl>
      <w:start w:val="2"/>
      <w:numFmt w:val="decimal"/>
      <w:suff w:val="tab"/>
      <w:lvlText w:val="%1."/>
      <w:rPr>
        <w:color w:val="3370ff"/>
      </w:rPr>
    </w:lvl>
  </w:abstractNum>
  <w:abstractNum w:abstractNumId="810298">
    <w:lvl>
      <w:start w:val="1"/>
      <w:numFmt w:val="decimal"/>
      <w:suff w:val="tab"/>
      <w:lvlText w:val="%1."/>
      <w:rPr>
        <w:color w:val="3370ff"/>
      </w:rPr>
    </w:lvl>
  </w:abstractNum>
  <w:abstractNum w:abstractNumId="810299">
    <w:lvl>
      <w:numFmt w:val="bullet"/>
      <w:suff w:val="tab"/>
      <w:lvlText w:val="￮"/>
      <w:rPr>
        <w:color w:val="3370ff"/>
      </w:rPr>
    </w:lvl>
  </w:abstractNum>
  <w:abstractNum w:abstractNumId="810300">
    <w:lvl>
      <w:numFmt w:val="bullet"/>
      <w:suff w:val="tab"/>
      <w:lvlText w:val="￮"/>
      <w:rPr>
        <w:color w:val="3370ff"/>
      </w:rPr>
    </w:lvl>
  </w:abstractNum>
  <w:abstractNum w:abstractNumId="810301">
    <w:lvl>
      <w:start w:val="2"/>
      <w:numFmt w:val="decimal"/>
      <w:suff w:val="tab"/>
      <w:lvlText w:val="%1."/>
      <w:rPr>
        <w:color w:val="3370ff"/>
      </w:rPr>
    </w:lvl>
  </w:abstractNum>
  <w:abstractNum w:abstractNumId="810302">
    <w:lvl>
      <w:start w:val="3"/>
      <w:numFmt w:val="decimal"/>
      <w:suff w:val="tab"/>
      <w:lvlText w:val="%1."/>
      <w:rPr>
        <w:color w:val="3370ff"/>
      </w:rPr>
    </w:lvl>
  </w:abstractNum>
  <w:abstractNum w:abstractNumId="810303">
    <w:lvl>
      <w:start w:val="1"/>
      <w:numFmt w:val="decimal"/>
      <w:suff w:val="tab"/>
      <w:lvlText w:val="%1."/>
      <w:rPr>
        <w:color w:val="3370ff"/>
      </w:rPr>
    </w:lvl>
  </w:abstractNum>
  <w:abstractNum w:abstractNumId="810304">
    <w:lvl>
      <w:start w:val="2"/>
      <w:numFmt w:val="decimal"/>
      <w:suff w:val="tab"/>
      <w:lvlText w:val="%1."/>
      <w:rPr>
        <w:color w:val="3370ff"/>
      </w:rPr>
    </w:lvl>
  </w:abstractNum>
  <w:num w:numId="1">
    <w:abstractNumId w:val="810269"/>
  </w:num>
  <w:num w:numId="2">
    <w:abstractNumId w:val="810270"/>
  </w:num>
  <w:num w:numId="3">
    <w:abstractNumId w:val="810271"/>
  </w:num>
  <w:num w:numId="4">
    <w:abstractNumId w:val="810272"/>
  </w:num>
  <w:num w:numId="5">
    <w:abstractNumId w:val="810273"/>
  </w:num>
  <w:num w:numId="6">
    <w:abstractNumId w:val="810274"/>
  </w:num>
  <w:num w:numId="7">
    <w:abstractNumId w:val="810275"/>
  </w:num>
  <w:num w:numId="8">
    <w:abstractNumId w:val="810276"/>
  </w:num>
  <w:num w:numId="9">
    <w:abstractNumId w:val="810277"/>
  </w:num>
  <w:num w:numId="10">
    <w:abstractNumId w:val="810278"/>
  </w:num>
  <w:num w:numId="11">
    <w:abstractNumId w:val="810279"/>
  </w:num>
  <w:num w:numId="12">
    <w:abstractNumId w:val="810280"/>
  </w:num>
  <w:num w:numId="13">
    <w:abstractNumId w:val="810281"/>
  </w:num>
  <w:num w:numId="14">
    <w:abstractNumId w:val="810282"/>
  </w:num>
  <w:num w:numId="15">
    <w:abstractNumId w:val="810283"/>
  </w:num>
  <w:num w:numId="16">
    <w:abstractNumId w:val="810284"/>
  </w:num>
  <w:num w:numId="17">
    <w:abstractNumId w:val="810285"/>
  </w:num>
  <w:num w:numId="18">
    <w:abstractNumId w:val="810286"/>
  </w:num>
  <w:num w:numId="19">
    <w:abstractNumId w:val="810287"/>
  </w:num>
  <w:num w:numId="20">
    <w:abstractNumId w:val="810288"/>
  </w:num>
  <w:num w:numId="21">
    <w:abstractNumId w:val="810289"/>
  </w:num>
  <w:num w:numId="22">
    <w:abstractNumId w:val="810290"/>
  </w:num>
  <w:num w:numId="23">
    <w:abstractNumId w:val="810291"/>
  </w:num>
  <w:num w:numId="24">
    <w:abstractNumId w:val="810292"/>
  </w:num>
  <w:num w:numId="25">
    <w:abstractNumId w:val="810293"/>
  </w:num>
  <w:num w:numId="26">
    <w:abstractNumId w:val="810294"/>
  </w:num>
  <w:num w:numId="27">
    <w:abstractNumId w:val="810295"/>
  </w:num>
  <w:num w:numId="28">
    <w:abstractNumId w:val="810296"/>
  </w:num>
  <w:num w:numId="29">
    <w:abstractNumId w:val="810297"/>
  </w:num>
  <w:num w:numId="30">
    <w:abstractNumId w:val="810298"/>
  </w:num>
  <w:num w:numId="31">
    <w:abstractNumId w:val="810299"/>
  </w:num>
  <w:num w:numId="32">
    <w:abstractNumId w:val="810300"/>
  </w:num>
  <w:num w:numId="33">
    <w:abstractNumId w:val="810301"/>
  </w:num>
  <w:num w:numId="34">
    <w:abstractNumId w:val="810302"/>
  </w:num>
  <w:num w:numId="35">
    <w:abstractNumId w:val="810303"/>
  </w:num>
  <w:num w:numId="36">
    <w:abstractNumId w:val="81030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2026-03-10T02:47:19Z</dcterms:created>
  <dc:creator>Apache POI</dc:creator>
</cp:coreProperties>
</file>