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lth-results-summary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 xml:space="preserve">LTH Results Summary</w:t>
      </w:r>
    </w:p>
    <w:p>
      <w:pPr>
        <w:pStyle w:val="BlockText"/>
      </w:pPr>
      <w:r>
        <w:rPr>
          <w:rFonts w:ascii="Calibri" w:hAnsi="Calibri" w:cs="Calibri" w:eastAsia="Calibri"/>
          <w:b/>
          <w:bCs/>
        </w:rPr>
        <w:t xml:space="preserve">Authoritative phenotype results narrative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· Updated 2026-06-30 · Index:</w:t>
      </w:r>
      <w:r>
        <w:rPr>
          <w:rFonts w:ascii="Calibri" w:hAnsi="Calibri" w:cs="Calibri" w:eastAsia="Calibri"/>
        </w:rPr>
        <w:t xml:space="preserve"> </w:t>
      </w:r>
      <w:hyperlink r:id="rId9">
        <w:r>
          <w:rPr>
            <w:rStyle w:val="VerbatimChar"/>
          </w:rPr>
          <w:t xml:space="preserve">README.md</w:t>
        </w:r>
      </w:hyperlink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· every number traces to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output/tables/20_master_results.csv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(built by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code/20</w:t>
      </w:r>
      <w:r>
        <w:rPr>
          <w:rFonts w:ascii="Calibri" w:hAnsi="Calibri" w:cs="Calibri" w:eastAsia="Calibri"/>
        </w:rPr>
        <w:t xml:space="preserve">).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Every number comes from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output/tables/*.csv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and the fitted models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output/models/*.rds</w:t>
      </w:r>
      <w:r>
        <w:rPr>
          <w:rFonts w:ascii="Calibri" w:hAnsi="Calibri" w:cs="Calibri" w:eastAsia="Calibri"/>
        </w:rPr>
        <w:t xml:space="preserve">. Starting point for the manuscript Results section.</w:t>
      </w:r>
    </w:p>
    <w:bookmarkStart w:id="10" w:name="experimental-snapshot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Experimental snapshot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Treatment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Wound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n (destructive)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n (also non-destructive)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28 °C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no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48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24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28 °C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yes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56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24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31 °C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no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49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24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31 °C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yes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55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24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</w:rPr>
        <w:t xml:space="preserve">Three genets (a, c, d), 8 tanks (4 per treatment), wounded on Day 0 after 7 days at target temperature. Non-destructive measurements every ~3 days through Day 14; destructive biopsies on D1, D3, D10, D15.</w:t>
      </w:r>
    </w:p>
    <w:p>
      <w:pPr>
        <w:pStyle w:val="BodyText"/>
        <w:keepNext/>
        <w:spacing w:before="150" w:after="60"/>
      </w:pPr>
      <w:r>
        <w:rPr>
          <w:rFonts w:ascii="Calibri" w:hAnsi="Calibri" w:cs="Calibri" w:eastAsia="Calibri"/>
          <w:b/>
          <w:bCs/>
          <w:color w:val="2E5496"/>
        </w:rPr>
        <w:t xml:space="preserve">Statistical-model structure (per Progress Notes 2026-04-29; refined to integrate genet):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</w:rPr>
        <w:t xml:space="preserve">Primary fixed structure: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treatment * wound * day * thicket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(full 4-way interactions where data permit).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</w:rPr>
        <w:t xml:space="preserve">Random effects: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(1 | tank) + (1 | id)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(genet promoted from random to fixed because n_genets = 3 — too few for reliable variance estimation).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</w:rPr>
        <w:t xml:space="preserve">Per-genet treatment-effect contrasts and reaction norms are integrated throughout the per-response sections below, not run as a separate analysis.</w:t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10"/>
    <w:bookmarkStart w:id="11" w:name="Xf1ad5d320e5e14b9508bf067c4e7d23542bf412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Key phenotype findings (organismal context)</w:t>
      </w:r>
    </w:p>
    <w:p>
      <w:pPr>
        <w:pStyle w:val="FirstParagraph"/>
      </w:pPr>
      <w:r>
        <w:rPr>
          <w:rFonts w:ascii="Calibri" w:hAnsi="Calibri" w:cs="Calibri" w:eastAsia="Calibri"/>
          <w:i/>
          <w:iCs/>
        </w:rPr>
        <w:t xml:space="preserve">These are the phenotype results — the organismal context for the paper. The paper's lead</w:t>
      </w:r>
      <w:r>
        <w:rPr>
          <w:rFonts w:ascii="Calibri" w:hAnsi="Calibri" w:cs="Calibri" w:eastAsia="Calibri"/>
          <w:i/>
          <w:iCs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result is the transcriptomic mechanism (RNA-seq analysis pending).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  <w:b/>
          <w:bCs/>
        </w:rPr>
        <w:t xml:space="preserve">Sustained heating to 31 °C compromises photochemistry, pigmentation, growth, and symbiont retention</w:t>
      </w:r>
      <w:r>
        <w:rPr>
          <w:rFonts w:ascii="Calibri" w:hAnsi="Calibri" w:cs="Calibri" w:eastAsia="Calibri"/>
        </w:rPr>
        <w:t xml:space="preserve">, with the divergence between treatments growing across the 14-day experiment.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  <w:b/>
          <w:bCs/>
        </w:rPr>
        <w:t xml:space="preserve">Heat impairs the regeneration phase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(new corallite / skeletal regrowth at the tip, tip extension)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but NOT the tissue-healing phase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(coenosarc coverage — hole closure, polyp emergence, and surface smoothing proceed at the same rate in both treatments).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  <w:b/>
          <w:bCs/>
        </w:rPr>
        <w:t xml:space="preserve">Strong genet × treatment interactions across most responses</w:t>
      </w:r>
      <w:r>
        <w:rPr>
          <w:rFonts w:ascii="Calibri" w:hAnsi="Calibri" w:cs="Calibri" w:eastAsia="Calibri"/>
        </w:rPr>
        <w:t xml:space="preserve">: genet C is consistently more heat-resilient than genets A and D. Composite ranking (</w:t>
      </w:r>
      <w:r>
        <w:rPr>
          <w:rFonts w:ascii="Calibri" w:hAnsi="Calibri" w:cs="Calibri" w:eastAsia="Calibri"/>
          <w:rStyle w:val="VerbatimChar"/>
        </w:rPr>
        <w:t xml:space="preserve">figures/19b_genet_resilience_ranking.png</w:t>
      </w:r>
      <w:r>
        <w:rPr>
          <w:rFonts w:ascii="Calibri" w:hAnsi="Calibri" w:cs="Calibri" w:eastAsia="Calibri"/>
        </w:rPr>
        <w:t xml:space="preserve">): A (most sensitive) &gt; D &gt;&gt; C (most resilient). Multivariate PCA centroid displacement under heat: A = 3.71, D = 3.38, C = 1.02.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  <w:b/>
          <w:bCs/>
        </w:rPr>
        <w:t xml:space="preserve">Wounding alone has little effect on colony-wide physiology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the wound response is limited to local changes at the wound site. Heat alters wound-site outcomes through the regeneration program, not closure.</w:t>
      </w:r>
    </w:p>
    <w:p>
      <w:pPr>
        <w:pStyle w:val="FirstParagraph"/>
        <w:keepNext/>
      </w:pPr>
      <w:r>
        <w:rPr>
          <w:rFonts w:ascii="Calibri" w:hAnsi="Calibri" w:cs="Calibri" w:eastAsia="Calibri"/>
        </w:rPr>
        <w:t xml:space="preserve">R² estimates (</w:t>
      </w:r>
      <w:r>
        <w:rPr>
          <w:rFonts w:ascii="Calibri" w:hAnsi="Calibri" w:cs="Calibri" w:eastAsia="Calibri"/>
          <w:rStyle w:val="VerbatimChar"/>
        </w:rPr>
        <w:t xml:space="preserve">output/tables/12_r2_summary.csv</w:t>
      </w:r>
      <w:r>
        <w:rPr>
          <w:rFonts w:ascii="Calibri" w:hAnsi="Calibri" w:cs="Calibri" w:eastAsia="Calibri"/>
        </w:rPr>
        <w:t xml:space="preserve">) — marginal R² jumped versus the no-genet baseline because the fixed-effects structure now absorbs the large among-genet variation: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Response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R²m (fixed inc. genet)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R²c (fixed + random)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PAM Fv/Fm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0.65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0.76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Color (D-scale)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0.72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0.88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Growth (%)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0.39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0.71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log(symbionts cm⁻²)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0.72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0.76</w:t>
            </w:r>
          </w:p>
        </w:tc>
      </w:tr>
    </w:tbl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11"/>
    <w:bookmarkStart w:id="12" w:name="X8c2e5a0759d9a84d2a1876bf1090047c0b3a113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1. Photochemical efficiency (PAM Fv/Fm)</w:t>
      </w:r>
    </w:p>
    <w:p>
      <w:pPr>
        <w:pStyle w:val="FirstParagraph"/>
      </w:pPr>
      <w:r>
        <w:rPr>
          <w:rFonts w:ascii="Calibri" w:hAnsi="Calibri" w:cs="Calibri" w:eastAsia="Calibri"/>
          <w:b/>
          <w:bCs/>
        </w:rPr>
        <w:t xml:space="preserve">Model: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fv_fm ~ treatment * wound * day * thicket + (1|tank) + (1|id)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output/models/12_pam_lmm.rds</w:t>
      </w:r>
      <w:r>
        <w:rPr>
          <w:rFonts w:ascii="Calibri" w:hAnsi="Calibri" w:cs="Calibri" w:eastAsia="Calibri"/>
        </w:rPr>
        <w:t xml:space="preserve">. n = 336 observations (top/bottom averaged per coral × day).</w:t>
      </w:r>
    </w:p>
    <w:p>
      <w:pPr>
        <w:pStyle w:val="BodyText"/>
        <w:keepNext/>
      </w:pPr>
      <w:r>
        <w:rPr>
          <w:rFonts w:ascii="Calibri" w:hAnsi="Calibri" w:cs="Calibri" w:eastAsia="Calibri"/>
          <w:b/>
          <w:bCs/>
        </w:rPr>
        <w:t xml:space="preserve">Type-III ANOVA, key terms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(Satterthwaite,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lmerTest</w:t>
      </w:r>
      <w:r>
        <w:rPr>
          <w:rFonts w:ascii="Calibri" w:hAnsi="Calibri" w:cs="Calibri" w:eastAsia="Calibri"/>
        </w:rPr>
        <w:t xml:space="preserve">; from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output/tables/12_anova_summary.csv</w:t>
      </w:r>
      <w:r>
        <w:rPr>
          <w:rFonts w:ascii="Calibri" w:hAnsi="Calibri" w:cs="Calibri" w:eastAsia="Calibri"/>
        </w:rPr>
        <w:t xml:space="preserve">). With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uncentered,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main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effects are evaluated at day 0 (wounding), before heat acts, so the treatment signal lives in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treatment × day interaction</w:t>
      </w:r>
      <w:r>
        <w:rPr>
          <w:rFonts w:ascii="Calibri" w:hAnsi="Calibri" w:cs="Calibri" w:eastAsia="Calibri"/>
        </w:rPr>
        <w:t xml:space="preserve">, not the (conditional) main effect.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Term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Reading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treatment (at day 0)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0.05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1, 8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n.s. — no treatment difference at wounding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thicket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2.49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2, 141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genets do not differ at day 0 (p = 0.087)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day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157.1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1, 228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overall change over time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treatment × day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111.66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1, 228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31 °C declines through the experiment (p &lt; 0.001) — the heat signal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treatment × thicket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1.37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2, 141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n.s. — genets don't differ at day 0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treatment × day × thicket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16.27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2, 228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genet-specific decline rates (p &lt; 0.001) — the G × E</w:t>
            </w:r>
          </w:p>
        </w:tc>
      </w:tr>
    </w:tbl>
    <w:p>
      <w:pPr>
        <w:pStyle w:val="BodyText"/>
        <w:keepNext/>
        <w:spacing w:before="200"/>
      </w:pPr>
      <w:r>
        <w:rPr>
          <w:rFonts w:ascii="Calibri" w:hAnsi="Calibri" w:cs="Calibri" w:eastAsia="Calibri"/>
          <w:b/>
          <w:bCs/>
        </w:rPr>
        <w:t xml:space="preserve">Per-genet end-of-experiment heat effect (Day 14 Fv/Fm, unwounded; from</w:t>
      </w:r>
      <w:r>
        <w:rPr>
          <w:rFonts w:ascii="Calibri" w:hAnsi="Calibri" w:cs="Calibri" w:eastAsia="Calibri"/>
          <w:b/>
          <w:bCs/>
        </w:rPr>
        <w:t xml:space="preserve"> </w:t>
      </w:r>
      <w:r>
        <w:rPr>
          <w:rFonts w:ascii="Calibri" w:hAnsi="Calibri" w:cs="Calibri" w:eastAsia="Calibri"/>
          <w:rStyle w:val="VerbatimChar"/>
          <w:b/>
          <w:bCs/>
        </w:rPr>
        <w:t xml:space="preserve">output/tables/12_genet_treatment_effects.csv</w:t>
      </w:r>
      <w:r>
        <w:rPr>
          <w:rFonts w:ascii="Calibri" w:hAnsi="Calibri" w:cs="Calibri" w:eastAsia="Calibri"/>
          <w:b/>
          <w:bCs/>
        </w:rPr>
        <w:t xml:space="preserve">):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Genet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Δ Fv/Fm (28 − 31)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0.131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7.61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&lt; 0.001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0.050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3.01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0.006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0.115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6.68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&lt; 0.001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</w:rPr>
        <w:t xml:space="preserve">Genet C loses 2.6× less photochemical efficiency than genet A under sustained heating. The contrast is even larger in wounded corals: genet C shows a non-significant Fv/Fm change under heat (Δ = 0.014, p = 0.45), while wounded genet A loses 0.11 Fv/Fm units (p &lt; 0.001).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Day-specific contrasts (pooled across genets, unwounded; from</w:t>
      </w:r>
      <w:r>
        <w:rPr>
          <w:rFonts w:ascii="Calibri" w:hAnsi="Calibri" w:cs="Calibri" w:eastAsia="Calibri"/>
          <w:b/>
          <w:bCs/>
        </w:rPr>
        <w:t xml:space="preserve"> </w:t>
      </w:r>
      <w:r>
        <w:rPr>
          <w:rFonts w:ascii="Calibri" w:hAnsi="Calibri" w:cs="Calibri" w:eastAsia="Calibri"/>
          <w:rStyle w:val="VerbatimChar"/>
          <w:b/>
          <w:bCs/>
        </w:rPr>
        <w:t xml:space="preserve">output/tables/12_emmeans_contrasts.csv</w:t>
      </w:r>
      <w:r>
        <w:rPr>
          <w:rFonts w:ascii="Calibri" w:hAnsi="Calibri" w:cs="Calibri" w:eastAsia="Calibri"/>
          <w:b/>
          <w:bCs/>
        </w:rPr>
        <w:t xml:space="preserve">; contrasts evaluated at the measured days 0, 3, 6, 9, 12, 14):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divergence is detectable by Day 6 and grows through Day 14 (Day-14 Δ Fv/Fm ≈ 0.09, p_adj &lt; 0.001).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Figures: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figures/02_pam_fvfm_trajectory.{pdf,png}</w:t>
      </w:r>
      <w:r>
        <w:rPr>
          <w:rFonts w:ascii="Calibri" w:hAnsi="Calibri" w:cs="Calibri" w:eastAsia="Calibri"/>
        </w:rPr>
        <w:t xml:space="preserve">; per-genet trends in panel of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figures/13_genet_response_panel.{pdf,png}</w:t>
      </w:r>
      <w:r>
        <w:rPr>
          <w:rFonts w:ascii="Calibri" w:hAnsi="Calibri" w:cs="Calibri" w:eastAsia="Calibri"/>
        </w:rPr>
        <w:t xml:space="preserve">.</w:t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12"/>
    <w:bookmarkStart w:id="13" w:name="X8a4fef2eb1c2bbbbdff13144ca81e4ee19d6f18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2. Pigmentation (Siebeck D-scale color)</w:t>
      </w:r>
    </w:p>
    <w:p>
      <w:pPr>
        <w:pStyle w:val="FirstParagraph"/>
      </w:pPr>
      <w:r>
        <w:rPr>
          <w:rFonts w:ascii="Calibri" w:hAnsi="Calibri" w:cs="Calibri" w:eastAsia="Calibri"/>
          <w:b/>
          <w:bCs/>
        </w:rPr>
        <w:t xml:space="preserve">Model: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color_num ~ treatment * wound * day * thicket + (1|tank) + (1|id)</w:t>
      </w:r>
      <w:r>
        <w:rPr>
          <w:rFonts w:ascii="Calibri" w:hAnsi="Calibri" w:cs="Calibri" w:eastAsia="Calibri"/>
        </w:rPr>
        <w:t xml:space="preserve">. n = 336 obs.</w:t>
      </w:r>
    </w:p>
    <w:p>
      <w:pPr>
        <w:pStyle w:val="BodyText"/>
        <w:keepNext/>
      </w:pPr>
      <w:r>
        <w:rPr>
          <w:rFonts w:ascii="Calibri" w:hAnsi="Calibri" w:cs="Calibri" w:eastAsia="Calibri"/>
          <w:b/>
          <w:bCs/>
        </w:rPr>
        <w:t xml:space="preserve">Type-III ANOVA, key terms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(Satterthwaite; main effects conditional at day 0):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Term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Reading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treatment (at day 0)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0.11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1, 7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n.s. at wounding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treatment × day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287.62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1, 228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dominant signal — heated corals pale through time (p &lt; 0.001)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treatment × wound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1.04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1, 59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n.s. (p = 0.31)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treatment × thicket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0.31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2, 59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n.s.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treatment × day × thicket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34.37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2, 228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genet-specific paling rates (p &lt; 0.001) — the G × E</w:t>
            </w:r>
          </w:p>
        </w:tc>
      </w:tr>
    </w:tbl>
    <w:p>
      <w:pPr>
        <w:pStyle w:val="BodyText"/>
        <w:keepNext/>
        <w:spacing w:before="150" w:after="60"/>
      </w:pPr>
      <w:r>
        <w:rPr>
          <w:rFonts w:ascii="Calibri" w:hAnsi="Calibri" w:cs="Calibri" w:eastAsia="Calibri"/>
          <w:b/>
          <w:bCs/>
          <w:color w:val="2E5496"/>
        </w:rPr>
        <w:t xml:space="preserve">Per-genet end-of-experiment heat-induced paling (Day 14, unwounded):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Genet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Δ Color (28 − 31)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1.83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D-units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8.55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&lt; 0.001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0.51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2.37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0.025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1.37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6.41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&lt; 0.001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</w:rPr>
        <w:t xml:space="preserve">Genet C pales 3.6× less than genet A. By Day 14, 0–8% of 28 °C corals had visibly paled vs 58% of 31 °C unwounded and 67% of 31 °C wounded (</w:t>
      </w:r>
      <w:r>
        <w:rPr>
          <w:rFonts w:ascii="Calibri" w:hAnsi="Calibri" w:cs="Calibri" w:eastAsia="Calibri"/>
          <w:rStyle w:val="VerbatimChar"/>
        </w:rPr>
        <w:t xml:space="preserve">output/tables/03_color_end_proportions.csv</w:t>
      </w:r>
      <w:r>
        <w:rPr>
          <w:rFonts w:ascii="Calibri" w:hAnsi="Calibri" w:cs="Calibri" w:eastAsia="Calibri"/>
        </w:rPr>
        <w:t xml:space="preserve">).</w:t>
      </w:r>
    </w:p>
    <w:p>
      <w:pPr>
        <w:pStyle w:val="BodyText"/>
      </w:pPr>
      <w:r>
        <w:rPr>
          <w:rFonts w:ascii="Calibri" w:hAnsi="Calibri" w:cs="Calibri" w:eastAsia="Calibri"/>
        </w:rPr>
        <w:t xml:space="preserve">The treatment × wound interaction is not significant under type-III SS (F₁,₅₉ = 1.04, p = 0.31). Descriptively, genet C paled less when wounded: heated wounded genet C corals drop 0.14 D-units versus 28 °C controls (p = 0.53, n.s.), while unwounded heated genet C corals lose 0.51 units (p = 0.025).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Figures: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figures/03_color_trajectory.{pdf,png}</w:t>
      </w:r>
      <w:r>
        <w:rPr>
          <w:rFonts w:ascii="Calibri" w:hAnsi="Calibri" w:cs="Calibri" w:eastAsia="Calibri"/>
        </w:rPr>
        <w:t xml:space="preserve">.</w:t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13"/>
    <w:bookmarkStart w:id="14" w:name="Xb897b34c78f82439990a0338f4e5fb485056841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3. Growth (% skeletal mass change)</w:t>
      </w:r>
    </w:p>
    <w:p>
      <w:pPr>
        <w:pStyle w:val="FirstParagraph"/>
      </w:pPr>
      <w:r>
        <w:rPr>
          <w:rFonts w:ascii="Calibri" w:hAnsi="Calibri" w:cs="Calibri" w:eastAsia="Calibri"/>
          <w:b/>
          <w:bCs/>
        </w:rPr>
        <w:t xml:space="preserve">Metric.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Growth is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percentage change in dry skeletal mass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over the 15-day window (100 · (mass_final − mass_initial) / mass_initial), from buoyant weight (Davies 1989; Jokiel et al. 1978). We do not use an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areal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calcification rate (mass gain per calcifying surface area): it needs the whole-fragment surface area, which we did not measure. Fragments were destructively sampled for transcriptomics, so wax-derived surface area exists only for the small sub-fragment used for symbiont counts (M. Brzezinski, pers. comm.). Specific growth rate (% d⁻¹) is a robustness metric; both are surface-area-free.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Model: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pct_growth ~ treatment * wound * thicket + (1|tank)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(n = 48; single endpoint observation per coral, with temperature randomized at the tank level).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output/models/12_bw_lm.rds</w:t>
      </w:r>
      <w:r>
        <w:rPr>
          <w:rFonts w:ascii="Calibri" w:hAnsi="Calibri" w:cs="Calibri" w:eastAsia="Calibri"/>
        </w:rPr>
        <w:t xml:space="preserve">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Tank-level inference: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mean growth fell from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6.10% at 28 °C to 4.03% at 31 °C — a 34% reduction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under sustained heating. The exact tank-level randomization test is a trend, not a formal p &lt; 0.05 result (28 °C minus 31 °C = 2.07 percentage points, p = 0.057;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output/tables/05_buoyant_weight_tank_test.csv</w:t>
      </w:r>
      <w:r>
        <w:rPr>
          <w:rFonts w:ascii="Calibri" w:hAnsi="Calibri" w:cs="Calibri" w:eastAsia="Calibri"/>
        </w:rPr>
        <w:t xml:space="preserve">). The coral-level LM coefficients point the same way.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Metric-invariance.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The heat effect points the same direction under both surface-area-free metrics (</w:t>
      </w:r>
      <w:r>
        <w:rPr>
          <w:rFonts w:ascii="Calibri" w:hAnsi="Calibri" w:cs="Calibri" w:eastAsia="Calibri"/>
          <w:rStyle w:val="VerbatimChar"/>
        </w:rPr>
        <w:t xml:space="preserve">output/tables/05b_growth_metric_comparison.csv</w:t>
      </w:r>
      <w:r>
        <w:rPr>
          <w:rFonts w:ascii="Calibri" w:hAnsi="Calibri" w:cs="Calibri" w:eastAsia="Calibri"/>
        </w:rPr>
        <w:t xml:space="preserve">): % mass change and specific growth rate both decrease at 31 °C (SGR 0.39 vs 0.26% d⁻¹, a 33% reduction).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Genet.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The genet × treatment LRT is the only non-significant interaction test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output/tables/13_genet_anova.csv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(p = 0.37), confirming no detectable G × E for growth (n = 4 per genet × treatment cell — underpowered). Directionally, genet c is the least heat-suppressed in growth (≈−17% vs ≈−39% and ≈−43% for genets a and d), matching its resilience in PAM, color, and symbiont density, but this is not significant for growth.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Figure: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figures/05_buoyant_weight_growth.{pdf,png}</w:t>
      </w:r>
      <w:r>
        <w:rPr>
          <w:rFonts w:ascii="Calibri" w:hAnsi="Calibri" w:cs="Calibri" w:eastAsia="Calibri"/>
        </w:rPr>
        <w:t xml:space="preserve">.</w:t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14"/>
    <w:bookmarkStart w:id="15" w:name="X899de027bb34a385952877c2b7119a927bf6fe9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4. Symbiont density (zoox cells cm⁻²)</w:t>
      </w:r>
    </w:p>
    <w:p>
      <w:pPr>
        <w:pStyle w:val="FirstParagraph"/>
      </w:pPr>
      <w:r>
        <w:rPr>
          <w:rFonts w:ascii="Calibri" w:hAnsi="Calibri" w:cs="Calibri" w:eastAsia="Calibri"/>
          <w:b/>
          <w:bCs/>
        </w:rPr>
        <w:t xml:space="preserve">Model: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log(cells_per_cm²) ~ treatment * wound * biopsy_day * thicket + (1|tank)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(n = 192).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output/models/12_zoox_lmm.rds</w:t>
      </w:r>
      <w:r>
        <w:rPr>
          <w:rFonts w:ascii="Calibri" w:hAnsi="Calibri" w:cs="Calibri" w:eastAsia="Calibri"/>
        </w:rPr>
        <w:t xml:space="preserve">.</w:t>
      </w:r>
    </w:p>
    <w:p>
      <w:pPr>
        <w:pStyle w:val="BodyText"/>
        <w:keepNext/>
      </w:pPr>
      <w:r>
        <w:rPr>
          <w:rFonts w:ascii="Calibri" w:hAnsi="Calibri" w:cs="Calibri" w:eastAsia="Calibri"/>
          <w:b/>
          <w:bCs/>
        </w:rPr>
        <w:t xml:space="preserve">Type-III ANOVA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(Satterthwaite;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biopsy_day_c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centered at day 1, so main effects are at day 1):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Term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Reading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treatment (at day 1)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3.35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1, 9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marginal at day 1 (p = 0.099)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treatment × biopsy_day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93.97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1, 162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heated corals lose symbionts through time (p &lt; 0.001) — the heat signal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treatment × thicket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0.70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2, 162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n.s.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treatment × biopsy_day × thicket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6.34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2, 162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genet-specific symbiont-loss rates (p = 0.002) — the G × E</w:t>
            </w:r>
          </w:p>
        </w:tc>
      </w:tr>
    </w:tbl>
    <w:p>
      <w:pPr>
        <w:pStyle w:val="BodyText"/>
        <w:keepNext/>
        <w:spacing w:before="200"/>
      </w:pPr>
      <w:r>
        <w:rPr>
          <w:rFonts w:ascii="Calibri" w:hAnsi="Calibri" w:cs="Calibri" w:eastAsia="Calibri"/>
          <w:b/>
          <w:bCs/>
        </w:rPr>
        <w:t xml:space="preserve">Per-genet end-of-experiment heat effect (Day 15, unwounded; on log scale, so ~0.7 = halving):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Genet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Δ log(cells cm⁻²)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2.64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8.71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&lt; 0.001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1.02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3.49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&lt; 0.001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2.56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8.45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&lt; 0.001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</w:rPr>
        <w:t xml:space="preserve">Genet C loses fewer symbionts under heat (Δlog = 1.02, ≈64% loss) than genets A and D (Δlog ≈ 2.6, ≈92% loss), though all three losses are significant.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Figure: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figures/06_symbiont_density_by_day.{pdf,png}</w:t>
      </w:r>
      <w:r>
        <w:rPr>
          <w:rFonts w:ascii="Calibri" w:hAnsi="Calibri" w:cs="Calibri" w:eastAsia="Calibri"/>
        </w:rPr>
        <w:t xml:space="preserve">.</w:t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15"/>
    <w:bookmarkStart w:id="19" w:name="Xa6b7a387d75c93f9009b8a32e1bb25214bdf543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5. Morphological wound-healing characteristics</w:t>
      </w:r>
    </w:p>
    <w:p>
      <w:pPr>
        <w:pStyle w:val="FirstParagraph"/>
      </w:pPr>
      <w:r>
        <w:rPr>
          <w:rFonts w:ascii="Calibri" w:hAnsi="Calibri" w:cs="Calibri" w:eastAsia="Calibri"/>
          <w:b/>
          <w:bCs/>
        </w:rPr>
        <w:t xml:space="preserve">Model per trait: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expressed ~ treatment * day * thicket + (1|tank)</w:t>
      </w:r>
      <w:r>
        <w:rPr>
          <w:rFonts w:ascii="Calibri" w:hAnsi="Calibri" w:cs="Calibri" w:eastAsia="Calibri"/>
        </w:rPr>
        <w:t xml:space="preserve">, binomial logit (</w:t>
      </w:r>
      <w:r>
        <w:rPr>
          <w:rFonts w:ascii="Calibri" w:hAnsi="Calibri" w:cs="Calibri" w:eastAsia="Calibri"/>
          <w:rStyle w:val="VerbatimChar"/>
        </w:rPr>
        <w:t xml:space="preserve">code/04_physio_morphology.R</w:t>
      </w:r>
      <w:r>
        <w:rPr>
          <w:rFonts w:ascii="Calibri" w:hAnsi="Calibri" w:cs="Calibri" w:eastAsia="Calibri"/>
        </w:rPr>
        <w:t xml:space="preserve">). Restricted to wounded corals (n = 12 per treatment, 4 per genet × treatment cell).</w:t>
      </w:r>
    </w:p>
    <w:p>
      <w:pPr>
        <w:pStyle w:val="BodyText"/>
      </w:pPr>
      <w:r>
        <w:rPr>
          <w:rFonts w:ascii="Calibri" w:hAnsi="Calibri" w:cs="Calibri" w:eastAsia="Calibri"/>
        </w:rPr>
        <w:t xml:space="preserve">Recovery follows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two-phase sequence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standard in the coral wound-healing literature: 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tissue-healing phase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(re-epithelialization / coenosarc coverage that seals the wound) followed by 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regeneration phase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(reappearance of polyps and skeletal calyx/corallite structure). The 8 binary traits index these two phases. (LTH wounds are apical-</w:t>
      </w:r>
      <w:r>
        <w:rPr>
          <w:rFonts w:ascii="Calibri" w:hAnsi="Calibri" w:cs="Calibri" w:eastAsia="Calibri"/>
          <w:b/>
          <w:bCs/>
        </w:rPr>
        <w:t xml:space="preserve">tip excisions</w:t>
      </w:r>
      <w:r>
        <w:rPr>
          <w:rFonts w:ascii="Calibri" w:hAnsi="Calibri" w:cs="Calibri" w:eastAsia="Calibri"/>
        </w:rPr>
        <w:t xml:space="preserve">, so regeneration is scored as new skeleton at the branch tip rather than polyp reappearance in a surface wound bed.)</w:t>
      </w:r>
    </w:p>
    <w:bookmarkStart w:id="16" w:name="X9a5ec8237ad38496f5c82c4aca11c1f02447af7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5a. Tissue healing — coenosarc coverage (uniform across genets)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 w:eastAsia="Calibri"/>
          <w:b/>
          <w:bCs/>
        </w:rPr>
        <w:t xml:space="preserve">Axial polyp formation and wound smoothed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index re-epithelialization / coenosarc coverage over the wound bed: ≥90% expression in both treatments by Day 5–7. No significant treatment effect, no genet × treatment interaction.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Heat does not delay tissue healing.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</w:t>
      </w:r>
      <w:r>
        <w:rPr>
          <w:rFonts w:ascii="Calibri" w:hAnsi="Calibri" w:cs="Calibri" w:eastAsia="Calibri"/>
          <w:rStyle w:val="VerbatimChar"/>
        </w:rPr>
        <w:t xml:space="preserve">axial_polyp_formation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combines the byte-identical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hole_in_center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polyp_in_hole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columns — the central hole is the axial polyp hole, scored together; see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data/raw/physio_morphology/SCORING_NOTES.docx</w:t>
      </w:r>
      <w:r>
        <w:rPr>
          <w:rFonts w:ascii="Calibri" w:hAnsi="Calibri" w:cs="Calibri" w:eastAsia="Calibri"/>
        </w:rPr>
        <w:t xml:space="preserve">.)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 w:eastAsia="Calibri"/>
          <w:b/>
          <w:bCs/>
        </w:rPr>
        <w:t xml:space="preserve">Polyps out</w:t>
      </w:r>
      <w:r>
        <w:rPr>
          <w:rFonts w:ascii="Calibri" w:hAnsi="Calibri" w:cs="Calibri" w:eastAsia="Calibri"/>
        </w:rPr>
        <w:t xml:space="preserve">: significant treatment × day interaction (Wald χ²₁ = 6.70, p = 0.0097) — heated wounded corals keep polyps retracted at later timepoints more than ambient controls. This is the only healing-phase trait with a real heat response.</w:t>
      </w:r>
    </w:p>
    <w:bookmarkEnd w:id="16"/>
    <w:bookmarkStart w:id="17" w:name="X74447e56f4639459a83a1b05ddb7e4070184f5d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5b. Regeneration phase — skeletal regrowth at the tip (heat-impaired, genet-dependent)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 w:eastAsia="Calibri"/>
          <w:b/>
          <w:bCs/>
        </w:rPr>
        <w:t xml:space="preserve">Tip extension</w:t>
      </w:r>
      <w:r>
        <w:rPr>
          <w:rFonts w:ascii="Calibri" w:hAnsi="Calibri" w:cs="Calibri" w:eastAsia="Calibri"/>
        </w:rPr>
        <w:t xml:space="preserve">: by Day 15, ~92% of 28 °C corals show tip extension vs 83% of 31 °C. Modest overall heat effect (interval-censored time ratio = 1.16, p = 0.18; first-observed Cox HR = 0.80, p = 0.61).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 w:eastAsia="Calibri"/>
          <w:b/>
          <w:bCs/>
        </w:rPr>
        <w:t xml:space="preserve">New corallites on tip</w:t>
      </w:r>
      <w:r>
        <w:rPr>
          <w:rFonts w:ascii="Calibri" w:hAnsi="Calibri" w:cs="Calibri" w:eastAsia="Calibri"/>
        </w:rPr>
        <w:t xml:space="preserve">: 100% of 28 °C wounded corals form new corallites by Day 15 vs 33% of 31 °C.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Interval-censored time ratio = 1.32 (95% CI 1.19–1.47, p = 1.4×10⁻⁷); first-observed Cox HR = 0.22 (95% CI 0.07–0.69, p = 0.010).</w:t>
      </w:r>
    </w:p>
    <w:p>
      <w:pPr>
        <w:pStyle w:val="Compact"/>
        <w:keepNext/>
        <w:numPr>
          <w:ilvl w:val="0"/>
          <w:numId w:val="1004"/>
        </w:numPr>
      </w:pPr>
      <w:r>
        <w:rPr>
          <w:rFonts w:ascii="Calibri" w:hAnsi="Calibri" w:cs="Calibri" w:eastAsia="Calibri"/>
          <w:b/>
          <w:bCs/>
          <w:color w:val="2E5496"/>
        </w:rPr>
        <w:t xml:space="preserve">Per-genet Cox HR for new corallites (31 °C vs 28 °C):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Genet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HR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n events / 28C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n events / 31C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~0 (no events under 31 °C)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4 / 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 / 4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0.64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4 / 4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3 / 4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0.14 (p = 0.08)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4 / 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 / 4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</w:rPr>
        <w:t xml:space="preserve">LRT for genet × treatment in Cox regression: χ² = 11.3, df = 2,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p = 0.0035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</w:t>
      </w:r>
      <w:r>
        <w:rPr>
          <w:rFonts w:ascii="Calibri" w:hAnsi="Calibri" w:cs="Calibri" w:eastAsia="Calibri"/>
          <w:rStyle w:val="VerbatimChar"/>
        </w:rPr>
        <w:t xml:space="preserve">output/tables/14_cox_genet_LRT.csv</w:t>
      </w:r>
      <w:r>
        <w:rPr>
          <w:rFonts w:ascii="Calibri" w:hAnsi="Calibri" w:cs="Calibri" w:eastAsia="Calibri"/>
        </w:rPr>
        <w:t xml:space="preserve">). The three genets respond significantly differently to heat on this trait; genet C is again the most resilient.</w:t>
      </w:r>
    </w:p>
    <w:p>
      <w:pPr>
        <w:pStyle w:val="BodyText"/>
      </w:pPr>
      <w:r>
        <w:rPr>
          <w:rFonts w:ascii="Calibri" w:hAnsi="Calibri" w:cs="Calibri" w:eastAsia="Calibri"/>
        </w:rPr>
        <w:t xml:space="preserve">A similar significant interaction holds for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pigment over wound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(Cox LRT χ² = 13.3, p = 0.001).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Figures: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figures/04_morphology_trajectories.{pdf,png}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(pooled by genet),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figures/04b_morphology_trajectories_by_genet.{pdf,png}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(split by genet),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figures/14_morphology_KM.{pdf,png}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(KM by treatment),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figures/14b_morphology_KM_by_genet.{pdf,png}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(KM by treatment × genet).</w:t>
      </w:r>
    </w:p>
    <w:bookmarkEnd w:id="17"/>
    <w:bookmarkStart w:id="18" w:name="Xad594d7451e699c6c87c3b1603c4b852ddb14a0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5c. Healing-to-regeneration lag (per-coral event timing)</w:t>
      </w:r>
    </w:p>
    <w:p>
      <w:pPr>
        <w:pStyle w:val="FirstParagraph"/>
        <w:keepNext/>
      </w:pPr>
      <w:r>
        <w:rPr>
          <w:rFonts w:ascii="Calibri" w:hAnsi="Calibri" w:cs="Calibri" w:eastAsia="Calibri"/>
        </w:rPr>
        <w:t xml:space="preserve">We quantify "heat impairs the regeneration phase, not the healing phase" as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lag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between reaching coenosarc coverage / tissue healing (</w:t>
      </w:r>
      <w:r>
        <w:rPr>
          <w:rFonts w:ascii="Calibri" w:hAnsi="Calibri" w:cs="Calibri" w:eastAsia="Calibri"/>
          <w:rStyle w:val="VerbatimChar"/>
        </w:rPr>
        <w:t xml:space="preserve">wound_smoothed</w:t>
      </w:r>
      <w:r>
        <w:rPr>
          <w:rFonts w:ascii="Calibri" w:hAnsi="Calibri" w:cs="Calibri" w:eastAsia="Calibri"/>
        </w:rPr>
        <w:t xml:space="preserve">) and forming new skeleton at the tip (</w:t>
      </w:r>
      <w:r>
        <w:rPr>
          <w:rFonts w:ascii="Calibri" w:hAnsi="Calibri" w:cs="Calibri" w:eastAsia="Calibri"/>
          <w:rStyle w:val="VerbatimChar"/>
        </w:rPr>
        <w:t xml:space="preserve">new_corallites_on_tip</w:t>
      </w:r>
      <w:r>
        <w:rPr>
          <w:rFonts w:ascii="Calibri" w:hAnsi="Calibri" w:cs="Calibri" w:eastAsia="Calibri"/>
        </w:rPr>
        <w:t xml:space="preserve">), computed per coral (</w:t>
      </w:r>
      <w:r>
        <w:rPr>
          <w:rFonts w:ascii="Calibri" w:hAnsi="Calibri" w:cs="Calibri" w:eastAsia="Calibri"/>
          <w:rStyle w:val="VerbatimChar"/>
        </w:rPr>
        <w:t xml:space="preserve">code/14_morphology_kaplan.R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output/tables/14_milestone_lag_summary.csv</w:t>
      </w:r>
      <w:r>
        <w:rPr>
          <w:rFonts w:ascii="Calibri" w:hAnsi="Calibri" w:cs="Calibri" w:eastAsia="Calibri"/>
        </w:rPr>
        <w:t xml:space="preserve">):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Treatment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n closed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reached both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  <w:color w:val="FFFFFF"/>
              </w:rPr>
              <w:t xml:space="preserve">% closed but never regenerated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median lag (days)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28 °C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12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12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0 %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8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31 °C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4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67 %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</w:rPr>
        <w:t xml:space="preserve">At 28 °C every coral that closed its wound went on to regenerate (median 8 d later). At 31 °C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two-thirds closed the wound but never rebuilt skeleton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within the experiment, and the few that did took ~2 d longer. Among corals reaching both milestones the lag difference is marginal (Wilcoxon W = 9, p = 0.061, n = 4 heated); the dominant signal is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censored fraction</w:t>
      </w:r>
      <w:r>
        <w:rPr>
          <w:rFonts w:ascii="Calibri" w:hAnsi="Calibri" w:cs="Calibri" w:eastAsia="Calibri"/>
        </w:rPr>
        <w:t xml:space="preserve">, not the lag length.</w:t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18"/>
    <w:bookmarkEnd w:id="19"/>
    <w:bookmarkStart w:id="20" w:name="X7322d2c671aba13893cf9a1bc4546b086947d5f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6. Multivariate genet × treatment signature (</w:t>
      </w:r>
      <w:r>
        <w:rPr>
          <w:rFonts w:ascii="Calibri" w:hAnsi="Calibri" w:cs="Calibri" w:eastAsia="Calibri"/>
          <w:rStyle w:val="VerbatimChar"/>
          <w:color w:val="2E5496"/>
          <w:b/>
        </w:rPr>
        <w:t xml:space="preserve">code/15_multivariate.R</w:t>
      </w:r>
      <w:r>
        <w:rPr>
          <w:rFonts w:ascii="Calibri" w:hAnsi="Calibri" w:cs="Calibri" w:eastAsia="Calibri"/>
          <w:color w:val="2E5496"/>
          <w:b/>
        </w:rPr>
        <w:t xml:space="preserve">)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PCA on the four endpoint responses (PAM, color, growth, log-symbionts) explained 82% of variance on PC1 (the "heat-stress axis") and 13% on PC2 (the "growth axis"). All four physiological variables load positively on PC1.</w:t>
      </w:r>
    </w:p>
    <w:p>
      <w:pPr>
        <w:pStyle w:val="BodyText"/>
        <w:keepNext/>
      </w:pPr>
      <w:r>
        <w:rPr>
          <w:rFonts w:ascii="Calibri" w:hAnsi="Calibri" w:cs="Calibri" w:eastAsia="Calibri"/>
          <w:b/>
          <w:bCs/>
        </w:rPr>
        <w:t xml:space="preserve">Per-genet centroid displacement under heat in PCA space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(Euclidean distance from 28 °C centroid to 31 °C centroid):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Genet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Displacement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3.71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d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3.38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1.02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</w:rPr>
        <w:t xml:space="preserve">Genet C's physiological state shifts 3.6× less under heat than genet A. In the faceted biplot (</w:t>
      </w:r>
      <w:r>
        <w:rPr>
          <w:rFonts w:ascii="Calibri" w:hAnsi="Calibri" w:cs="Calibri" w:eastAsia="Calibri"/>
          <w:rStyle w:val="VerbatimChar"/>
        </w:rPr>
        <w:t xml:space="preserve">figures/15b_physio_PCA_by_genet.png</w:t>
      </w:r>
      <w:r>
        <w:rPr>
          <w:rFonts w:ascii="Calibri" w:hAnsi="Calibri" w:cs="Calibri" w:eastAsia="Calibri"/>
        </w:rPr>
        <w:t xml:space="preserve">), genet C's 28 °C and 31 °C clouds overlap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much more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than those of genets A and D.</w:t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20"/>
    <w:bookmarkStart w:id="21" w:name="Xb52a9a31e95ddaa3cd77f93a984cb182ce88404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7. Integrative genet ranking (</w:t>
      </w:r>
      <w:r>
        <w:rPr>
          <w:rFonts w:ascii="Calibri" w:hAnsi="Calibri" w:cs="Calibri" w:eastAsia="Calibri"/>
          <w:rStyle w:val="VerbatimChar"/>
          <w:color w:val="2E5496"/>
          <w:b/>
        </w:rPr>
        <w:t xml:space="preserve">code/19_genet_dashboard.R</w:t>
      </w:r>
      <w:r>
        <w:rPr>
          <w:rFonts w:ascii="Calibri" w:hAnsi="Calibri" w:cs="Calibri" w:eastAsia="Calibri"/>
          <w:color w:val="2E5496"/>
          <w:b/>
        </w:rPr>
        <w:t xml:space="preserve">)</w:t>
      </w:r>
    </w:p>
    <w:p>
      <w:pPr>
        <w:pStyle w:val="FirstParagraph"/>
        <w:keepNext/>
      </w:pPr>
      <w:r>
        <w:rPr>
          <w:rFonts w:ascii="Calibri" w:hAnsi="Calibri" w:cs="Calibri" w:eastAsia="Calibri"/>
        </w:rPr>
        <w:t xml:space="preserve">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figures/19_genet_dashboard.png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forest plot collapses every standardized heat-sensitivity effect (4 continuous responses + estimable morphology first-observed HRs) into one figure, rows grouped by domain (physiology, wound closure, regeneration). Composite ranking (</w:t>
      </w:r>
      <w:r>
        <w:rPr>
          <w:rFonts w:ascii="Calibri" w:hAnsi="Calibri" w:cs="Calibri" w:eastAsia="Calibri"/>
          <w:rStyle w:val="VerbatimChar"/>
        </w:rPr>
        <w:t xml:space="preserve">figures/19b_genet_resilience_ranking.png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output/tables/19_genet_resilience_summary.csv</w:t>
      </w:r>
      <w:r>
        <w:rPr>
          <w:rFonts w:ascii="Calibri" w:hAnsi="Calibri" w:cs="Calibri" w:eastAsia="Calibri"/>
        </w:rPr>
        <w:t xml:space="preserve">):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Genet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Mean standardized sensitivity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PCA displacement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Rank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0.56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3.71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most sensitive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d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0.43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3.38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sensitive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c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0.01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1.02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resilient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  <w:b/>
          <w:bCs/>
        </w:rPr>
        <w:t xml:space="preserve">Heat-only vs heat-while-wounded decomposition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</w:t>
      </w:r>
      <w:r>
        <w:rPr>
          <w:rFonts w:ascii="Calibri" w:hAnsi="Calibri" w:cs="Calibri" w:eastAsia="Calibri"/>
          <w:rStyle w:val="VerbatimChar"/>
        </w:rPr>
        <w:t xml:space="preserve">figures/19c_decomposed_resilience.pdf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output/tables/19c_resilience_decomp_by_scope.csv</w:t>
      </w:r>
      <w:r>
        <w:rPr>
          <w:rFonts w:ascii="Calibri" w:hAnsi="Calibri" w:cs="Calibri" w:eastAsia="Calibri"/>
        </w:rPr>
        <w:t xml:space="preserve">): the genet spread is largest in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unwounded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heat response — A and D show standardized heat sensitivities of 0.99 and 0.90, versus C's 0.43. In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wounded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state the gap narrows (A=0.34, D=0.24, C=0.28); all three genets respond more alike. Descriptively, the genet differences are sharpest in the unwounded heat response and narrow under wounding.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Implication for the RNA-seq analysis: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comparing gene expression of genet C against genets A and D — especially in apical-tip biopsies at Day 10, where new-corallite formation diverges most sharply — is the most likely route to candidate genes behind heritable thermal tolerance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.</w:t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21"/>
    <w:bookmarkStart w:id="25" w:name="X2c25632b868da972e0d9c9d93d27b9aa61a80b9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8. Environmental controls</w:t>
      </w:r>
    </w:p>
    <w:bookmarkStart w:id="22" w:name="water-chemistry-ysi-daily-n--72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Water chemistry (YSI daily, n = 72)</w:t>
      </w:r>
    </w:p>
    <w:p>
      <w:pPr>
        <w:pStyle w:val="FirstParagraph"/>
      </w:pPr>
      <w:r>
        <w:rPr>
          <w:rFonts w:ascii="Calibri" w:hAnsi="Calibri" w:cs="Calibri" w:eastAsia="Calibri"/>
          <w:rStyle w:val="VerbatimChar"/>
        </w:rPr>
        <w:t xml:space="preserve">figures/09_ysi_water_chem.png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temperature, DO, salinity, and pH tracked daily during the experiment. Ramps and steady-state plateaus are visible; no detectable cross-tank contamination or DO depletion.</w:t>
      </w:r>
    </w:p>
    <w:bookmarkEnd w:id="22"/>
    <w:bookmarkStart w:id="23" w:name="apex-continuous-temperature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Apex continuous temperature</w:t>
      </w:r>
    </w:p>
    <w:p>
      <w:pPr>
        <w:pStyle w:val="FirstParagraph"/>
      </w:pPr>
      <w:r>
        <w:rPr>
          <w:rFonts w:ascii="Calibri" w:hAnsi="Calibri" w:cs="Calibri" w:eastAsia="Calibri"/>
          <w:rStyle w:val="VerbatimChar"/>
        </w:rPr>
        <w:t xml:space="preserve">figures/08_apex_temperature.png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daily-mean per-tank temperature from the Neptune Apex datalogs. Tanks held within ~0.3 °C of nominal 28 °C and 31 °C setpoints across the experimental window.</w:t>
      </w:r>
    </w:p>
    <w:bookmarkEnd w:id="23"/>
    <w:bookmarkStart w:id="24" w:name="flatworm-aefw-surveillance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Flatworm (AEFW) surveillance</w:t>
      </w:r>
    </w:p>
    <w:p>
      <w:pPr>
        <w:pStyle w:val="FirstParagraph"/>
      </w:pPr>
      <w:r>
        <w:rPr>
          <w:rFonts w:ascii="Calibri" w:hAnsi="Calibri" w:cs="Calibri" w:eastAsia="Calibri"/>
          <w:rStyle w:val="VerbatimChar"/>
        </w:rPr>
        <w:t xml:space="preserve">figures/10_worm_presence.png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output/tables/10_worm_summary.csv</w:t>
      </w:r>
      <w:r>
        <w:rPr>
          <w:rFonts w:ascii="Calibri" w:hAnsi="Calibri" w:cs="Calibri" w:eastAsia="Calibri"/>
        </w:rPr>
        <w:t xml:space="preserve">. AEFW were checked on three dates (06/07, 06/08, 06/12). 21 unique corals tested worm-positive at some point, with 17/22 worm-positive observations concentrated in 31 °C tanks 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06/07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(3 days post-wounding). All corals were treated with the standard Worm Exit protocol (4 drops per 20 L + transfer-pipet rinse); later surveys showed near-complete clearance. The temperature-biased early distribution suggests heat-stressed corals may have been more prone to flatworm reinfection from the source water — 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confound to watch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in any future thermal-tolerance experiment. No response analysis includes a worm-presence covariate.</w:t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24"/>
    <w:bookmarkEnd w:id="25"/>
    <w:bookmarkStart w:id="26" w:name="Xf378807cb8406fee4e52d2de16d23c0578ff285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9. Wax-dipping surface-area calibration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Standard curve: SA (cm²) = 0.75 + 61.9 × wax mass (g), based on 15 cylinders of known SA (R² ≈ 0.97, p &lt; 10⁻¹¹). All per-coral SAs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data/processed/wax_clean.rds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are predicted from this curve and used to normalize symbiont counts to area. (They are not used for growth: the SA belongs to the small symbiont sub-fragment, not the whole buoyant-weighed fragment, so we report growth as % mass change — see §3.)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Figure: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figures/07_wax_standard_curve.{pdf,png}</w:t>
      </w:r>
      <w:r>
        <w:rPr>
          <w:rFonts w:ascii="Calibri" w:hAnsi="Calibri" w:cs="Calibri" w:eastAsia="Calibri"/>
        </w:rPr>
        <w:t xml:space="preserve"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Table: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output/tables/07_wax_curve_fit.csv</w:t>
      </w:r>
      <w:r>
        <w:rPr>
          <w:rFonts w:ascii="Calibri" w:hAnsi="Calibri" w:cs="Calibri" w:eastAsia="Calibri"/>
        </w:rPr>
        <w:t xml:space="preserve">.</w:t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26"/>
    <w:bookmarkStart w:id="27" w:name="X2c02ca5474ce767a8471c80fbd077ecf2bc8356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9b. Thermal context — LTH treatments vs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i/>
          <w:iCs/>
          <w:color w:val="2E5496"/>
          <w:b/>
        </w:rPr>
        <w:t xml:space="preserve">A. pulchra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 xml:space="preserve">acute thermal tolerance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We benchmarked the LTH design against an independent, calibrated acute thermal-tolerance dataset for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same species and island</w:t>
      </w:r>
      <w:r>
        <w:rPr>
          <w:rFonts w:ascii="Calibri" w:hAnsi="Calibri" w:cs="Calibri" w:eastAsia="Calibri"/>
        </w:rPr>
        <w:t xml:space="preserve">: Cunning et al. 2024 (</w:t>
      </w:r>
      <w:r>
        <w:rPr>
          <w:rFonts w:ascii="Calibri" w:hAnsi="Calibri" w:cs="Calibri" w:eastAsia="Calibri"/>
          <w:i/>
          <w:iCs/>
        </w:rPr>
        <w:t xml:space="preserve">Coral Reefs</w:t>
      </w:r>
      <w:r>
        <w:rPr>
          <w:rFonts w:ascii="Calibri" w:hAnsi="Calibri" w:cs="Calibri" w:eastAsia="Calibri"/>
        </w:rPr>
        <w:t xml:space="preserve">) measured CBASS Fv/Fm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ED50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for 20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genets from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Mahana, Mo'orea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</w:t>
      </w:r>
      <w:r>
        <w:rPr>
          <w:rFonts w:ascii="Calibri" w:hAnsi="Calibri" w:cs="Calibri" w:eastAsia="Calibri"/>
          <w:rStyle w:val="VerbatimChar"/>
        </w:rPr>
        <w:t xml:space="preserve">data/external/cunning2024_apulchra_ed50.csv</w:t>
      </w:r>
      <w:r>
        <w:rPr>
          <w:rFonts w:ascii="Calibri" w:hAnsi="Calibri" w:cs="Calibri" w:eastAsia="Calibri"/>
        </w:rPr>
        <w:t xml:space="preserve">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code/sensitivity/26_thermal_context.R</w:t>
      </w:r>
      <w:r>
        <w:rPr>
          <w:rFonts w:ascii="Calibri" w:hAnsi="Calibri" w:cs="Calibri" w:eastAsia="Calibri"/>
        </w:rPr>
        <w:t xml:space="preserve">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figures/26_thermal_context.{pdf,png}</w:t>
      </w:r>
      <w:r>
        <w:rPr>
          <w:rFonts w:ascii="Calibri" w:hAnsi="Calibri" w:cs="Calibri" w:eastAsia="Calibri"/>
        </w:rPr>
        <w:t xml:space="preserve">).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(1) The LTH chronic treatments are sublethal relative to acute limits.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Acute ED50 averaged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35.4 °C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across genets (range 34.4–36.6 °C, SD 0.59). The LTH heated treatment (31 °C) sits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4.4 °C below the mean acute ED50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(3.4 °C below even the most heat-sensitive genet); ambient (28 °C) is 7.4 °C below. The progressive Fv/Fm decline, paling, symbiont loss, and calcification suppression at 31 °C are therefore 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chronic-sublethal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response — built up over weeks well below the acute photochemical threshold — not acute photoinhibition. (ED50 is an 18-h acute metric, used here only as a reference axis, not as the chronic temperature scale.)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(2) Among-genotype thermal-tolerance variation is concordant across methods.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Cunning's acute assay resolved substantial heritable variation (ED50 range 2.2 °C; ED50 predicts classic bleaching, R = 0.74). The LTH chronic experiment independently detects among-genotype variation in the same population — the resilience ranking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C &gt; D &gt; 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across PAM, color, symbionts, and calcification (</w:t>
      </w:r>
      <w:r>
        <w:rPr>
          <w:rFonts w:ascii="Calibri" w:hAnsi="Calibri" w:cs="Calibri" w:eastAsia="Calibri"/>
          <w:rStyle w:val="VerbatimChar"/>
        </w:rPr>
        <w:t xml:space="preserve">output/tables/26_genotype_variation_concordance.csv</w:t>
      </w:r>
      <w:r>
        <w:rPr>
          <w:rFonts w:ascii="Calibri" w:hAnsi="Calibri" w:cs="Calibri" w:eastAsia="Calibri"/>
        </w:rPr>
        <w:t xml:space="preserve">). Both methods thus agree that Mahana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holds ecologically meaningful, genotype-level thermal-tolerance variation.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Caveat / future work.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The LTH thicket labels (A, C, D) are arbitrary 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not genotype-matched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to Cunning's numbered genets, so we cannot yet correlate ED50 against chronic resilience per genet. Cunning's genets are genotyped (</w:t>
      </w:r>
      <w:r>
        <w:rPr>
          <w:rFonts w:ascii="Calibri" w:hAnsi="Calibri" w:cs="Calibri" w:eastAsia="Calibri"/>
          <w:rStyle w:val="VerbatimChar"/>
        </w:rPr>
        <w:t xml:space="preserve">genet_map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in the CBASS_methods repo); calling SNPs from the forthcoming LTH RNA-seq and matching them to that map would allow the direct acute-vs-chronic genet correlation — the natural next test.</w:t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27"/>
    <w:bookmarkStart w:id="28" w:name="X1972da3e30f036a9d7edc8152ddb4654d31ddbd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10. Statistical limitations and robustness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A diagnostic swarm (</w:t>
      </w:r>
      <w:r>
        <w:rPr>
          <w:rFonts w:ascii="Calibri" w:hAnsi="Calibri" w:cs="Calibri" w:eastAsia="Calibri"/>
          <w:rStyle w:val="VerbatimChar"/>
        </w:rPr>
        <w:t xml:space="preserve">output/diagnostics/{A,B,C,D}_*.{csv,md}</w:t>
      </w:r>
      <w:r>
        <w:rPr>
          <w:rFonts w:ascii="Calibri" w:hAnsi="Calibri" w:cs="Calibri" w:eastAsia="Calibri"/>
        </w:rPr>
        <w:t xml:space="preserve">) checked every primary model. Concerns worth flagging in the Methods section of the manuscript: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 xml:space="preserve">Color D-scale is ordinal, not continuous.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The Siebeck D-scale takes five discrete values (D1–D5). We fit it as a Gaussian LMM to compare directly with the other continuous physiology metrics, 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DHARMa::simulateResiduals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flagged the expected non-uniform residual distribution (KS p &lt; 0.001). As a robustness check we refit the same fixed and random structure as a cumulative-link mixed model (</w:t>
      </w:r>
      <w:r>
        <w:rPr>
          <w:rFonts w:ascii="Calibri" w:hAnsi="Calibri" w:cs="Calibri" w:eastAsia="Calibri"/>
          <w:rStyle w:val="VerbatimChar"/>
        </w:rPr>
        <w:t xml:space="preserve">ordinal::clmm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output/models/12b_color_clmm.rds</w:t>
      </w:r>
      <w:r>
        <w:rPr>
          <w:rFonts w:ascii="Calibri" w:hAnsi="Calibri" w:cs="Calibri" w:eastAsia="Calibri"/>
        </w:rPr>
        <w:t xml:space="preserve">); every qualitative inference above held under the ordinal likelihood. We keep the Gaussian model for presentation; ordinal LRTs are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output/tables/12b_color_clmm.csv</w:t>
      </w:r>
      <w:r>
        <w:rPr>
          <w:rFonts w:ascii="Calibri" w:hAnsi="Calibri" w:cs="Calibri" w:eastAsia="Calibri"/>
        </w:rPr>
        <w:t xml:space="preserve">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 xml:space="preserve">Morphology GLMM separation.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Several of the eight binary wound-healing traits show complete or quasi-complete separation in the four-way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treatment × wound × day × thicket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fit (one trait,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algae_on_wound</w:t>
      </w:r>
      <w:r>
        <w:rPr>
          <w:rFonts w:ascii="Calibri" w:hAnsi="Calibri" w:cs="Calibri" w:eastAsia="Calibri"/>
        </w:rPr>
        <w:t xml:space="preserve">, is invariant and not modelled). The raw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glmer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fits give sensible predicted probabilities (used in figures) and correct omnibus type-II Wald χ² from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car::Anova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(used in Sections 5a/5b), but the individual coefficient Wald z-statistics diverge. We therefore refit all 8 traits with weakly-informative Cauchy(0, 2.5) priors on the fixed effects via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blme::bglmer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(Gelman 2008 default for logistic regression with separation;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output/models/12c_morph_&lt;trait&gt;_blme.rds</w:t>
      </w:r>
      <w:r>
        <w:rPr>
          <w:rFonts w:ascii="Calibri" w:hAnsi="Calibri" w:cs="Calibri" w:eastAsia="Calibri"/>
        </w:rPr>
        <w:t xml:space="preserve">). The penalized fits give finite SEs (max SE per trait: 0.005–1.81 except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pigment_over_wound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at 37.2, from a residual cell of zero events). All quantitative claims on individual morphology coefficients in the master spreadsheet come from these penalized refits (</w:t>
      </w:r>
      <w:r>
        <w:rPr>
          <w:rFonts w:ascii="Calibri" w:hAnsi="Calibri" w:cs="Calibri" w:eastAsia="Calibri"/>
          <w:rStyle w:val="VerbatimChar"/>
        </w:rPr>
        <w:t xml:space="preserve">model_type = "GLMM (binomial, blme Cauchy(0,2.5))"</w:t>
      </w:r>
      <w:r>
        <w:rPr>
          <w:rFonts w:ascii="Calibri" w:hAnsi="Calibri" w:cs="Calibri" w:eastAsia="Calibri"/>
        </w:rPr>
        <w:t xml:space="preserve">).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 xml:space="preserve">Discrete scoring days for morphology timing.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The primary timing tests use interval-censored Weibull AFT models (</w:t>
      </w:r>
      <w:r>
        <w:rPr>
          <w:rFonts w:ascii="Calibri" w:hAnsi="Calibri" w:cs="Calibri" w:eastAsia="Calibri"/>
          <w:rStyle w:val="VerbatimChar"/>
        </w:rPr>
        <w:t xml:space="preserve">output/tables/14_interval_survreg.csv</w:t>
      </w:r>
      <w:r>
        <w:rPr>
          <w:rFonts w:ascii="Calibri" w:hAnsi="Calibri" w:cs="Calibri" w:eastAsia="Calibri"/>
        </w:rPr>
        <w:t xml:space="preserve">) because traits were only scored on visit days. Kaplan-Meier and Cox outputs are retained as first-observed-day summaries and diagnostics.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 xml:space="preserve">Closure GLMM residuals saturate.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The closure traits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axial_polyp_formation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wound_smoothed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reach near-complete occurrence in both temperatures, so the binomial morphology GLMM diagnostic reports DHARMa underdispersion. We mark those diagnostic rows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HANDLED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rather than treat the GLMM p-values as decisive; closure inference comes from interval-censored milestone timing and event summaries.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 xml:space="preserve">Cox per-genet events-per-variable.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Per-genet Cox models contain only 4–8 events per genet × treatment cell — below the rule-of-thumb 10 events per variable. We use per-genet Cox output only for visualization/resilience summaries; primary timing inference comes from the interval-censored overall models.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 xml:space="preserve">One PH violation.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The proportional-hazards assumption was met for every overall Cox model. In the per-genet decomposition,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pigment_over_wound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in genet C shows a Schoenfeld global p = 0.01 (n_event = 5). A time-varying-coefficient refit (</w:t>
      </w:r>
      <w:r>
        <w:rPr>
          <w:rFonts w:ascii="Calibri" w:hAnsi="Calibri" w:cs="Calibri" w:eastAsia="Calibri"/>
          <w:rStyle w:val="VerbatimChar"/>
        </w:rPr>
        <w:t xml:space="preserve">tt(treatment) * log(t+1)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output/tables/14c_cox_tt_pigment_genetC.csv</w:t>
      </w:r>
      <w:r>
        <w:rPr>
          <w:rFonts w:ascii="Calibri" w:hAnsi="Calibri" w:cs="Calibri" w:eastAsia="Calibri"/>
        </w:rPr>
        <w:t xml:space="preserve">) gives a non-significant heat effect (coef = 0.65, p = 0.13), confirming the PH violation inflated the original per-genet point HR. Schoenfeld plot at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figures/diagnostics/C_pigment_over_wound_genet_c_schoenfeld.png</w:t>
      </w:r>
      <w:r>
        <w:rPr>
          <w:rFonts w:ascii="Calibri" w:hAnsi="Calibri" w:cs="Calibri" w:eastAsia="Calibri"/>
        </w:rPr>
        <w:t xml:space="preserve">. We do not carry this cell's original per-genet HR into the resilience composite.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 xml:space="preserve">PAM probe location (top vs bottom).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Molly's original analysis (</w:t>
      </w:r>
      <w:r>
        <w:rPr>
          <w:rFonts w:ascii="Calibri" w:hAnsi="Calibri" w:cs="Calibri" w:eastAsia="Calibri"/>
          <w:rStyle w:val="VerbatimChar"/>
        </w:rPr>
        <w:t xml:space="preserve">code/archive/molly_original/LTH_PAM.R</w:t>
      </w:r>
      <w:r>
        <w:rPr>
          <w:rFonts w:ascii="Calibri" w:hAnsi="Calibri" w:cs="Calibri" w:eastAsia="Calibri"/>
        </w:rPr>
        <w:t xml:space="preserve">) noted top vs bottom probe placement appeared to differ. We test this directly (</w:t>
      </w:r>
      <w:r>
        <w:rPr>
          <w:rFonts w:ascii="Calibri" w:hAnsi="Calibri" w:cs="Calibri" w:eastAsia="Calibri"/>
          <w:rStyle w:val="VerbatimChar"/>
        </w:rPr>
        <w:t xml:space="preserve">code/02_pam_analysis.R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→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output/tables/02b_pam_location_sensitivity.csv</w:t>
      </w:r>
      <w:r>
        <w:rPr>
          <w:rFonts w:ascii="Calibri" w:hAnsi="Calibri" w:cs="Calibri" w:eastAsia="Calibri"/>
        </w:rPr>
        <w:t xml:space="preserve">):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location main effect is significant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(F₁,₆₂₄ = 9.22, p = 0.0025 — a real top/bottom offset), but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every interaction of location with treatment, wound, and day is non-significant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(all p ≥ 0.07). Averaging the two probe locations per coral-day (as the pipeline does) therefore removes a constant offset without distorting the treatment/wound/day effects.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 xml:space="preserve">Color-card split scores.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40 of ~962 scored color observations are split Siebeck scores (</w:t>
      </w:r>
      <w:r>
        <w:rPr>
          <w:rFonts w:ascii="Calibri" w:hAnsi="Calibri" w:cs="Calibri" w:eastAsia="Calibri"/>
          <w:rStyle w:val="VerbatimChar"/>
        </w:rPr>
        <w:t xml:space="preserve">D1/D2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D2/D3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D3/D4</w:t>
      </w:r>
      <w:r>
        <w:rPr>
          <w:rFonts w:ascii="Calibri" w:hAnsi="Calibri" w:cs="Calibri" w:eastAsia="Calibri"/>
        </w:rPr>
        <w:t xml:space="preserve">), averaged to the midpoint (e.g.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D3/D4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→ 3.5) following Molly's convention rather than truncated to the first digit; the continuous value feeds the Gaussian LMM, while the ordinal CLMM robustness check uses deterministic half-up rounding to keep a clean D1–D5 scale (</w:t>
      </w:r>
      <w:r>
        <w:rPr>
          <w:rFonts w:ascii="Calibri" w:hAnsi="Calibri" w:cs="Calibri" w:eastAsia="Calibri"/>
          <w:rStyle w:val="VerbatimChar"/>
        </w:rPr>
        <w:t xml:space="preserve">code/03_color_card_analysis.R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code/12_models.R</w:t>
      </w:r>
      <w:r>
        <w:rPr>
          <w:rFonts w:ascii="Calibri" w:hAnsi="Calibri" w:cs="Calibri" w:eastAsia="Calibri"/>
        </w:rPr>
        <w:t xml:space="preserve">).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 xml:space="preserve">Flagged colonies and tanks (QA/QC).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Molly flagged corals 116 and 121 (both wounded genet-c) as visually odd in the per-individual morphology trajectories, tank 3 (ambient) as a slow grower, and a negative within-tank wound effect in tank 11. These are documented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notes/archive/QAQC_flagged_samples.md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and checked against the data (tank 3 grows ≈40% less than the other three ambient tanks). We keep them; a sensitivity analysis dropping corals 116/121 and tank 3 (</w:t>
      </w:r>
      <w:r>
        <w:rPr>
          <w:rFonts w:ascii="Calibri" w:hAnsi="Calibri" w:cs="Calibri" w:eastAsia="Calibri"/>
          <w:rStyle w:val="VerbatimChar"/>
        </w:rPr>
        <w:t xml:space="preserve">code/sensitivity/22_sensitivity_flagged.R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output/tables/22_sensitivity_flagged.csv</w:t>
      </w:r>
      <w:r>
        <w:rPr>
          <w:rFonts w:ascii="Calibri" w:hAnsi="Calibri" w:cs="Calibri" w:eastAsia="Calibri"/>
        </w:rPr>
        <w:t xml:space="preserve">) leaves every conclusion intact — the PAM and color treatment effects stay highly significant, and the growth tank-permutation strengthens from p = 0.057 to p = 0.029 once the slow ambient tank is removed.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 xml:space="preserve">Time-series structure of the repeated-measures responses (tested).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PAM Fv/Fm and color are true repeated measures (~7 observations per coral over 14 days); the primary models fit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as a linear fixed effect with random intercepts. A dedicated time-series diagnostic suite (</w:t>
      </w:r>
      <w:r>
        <w:rPr>
          <w:rFonts w:ascii="Calibri" w:hAnsi="Calibri" w:cs="Calibri" w:eastAsia="Calibri"/>
          <w:rStyle w:val="VerbatimChar"/>
        </w:rPr>
        <w:t xml:space="preserve">code/sensitivity/23_timeseries_diagnostics.R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output/tables/23_timeseries_diagnostics.csv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output/diagnostics/I_timeseries_report.md</w:t>
      </w:r>
      <w:r>
        <w:rPr>
          <w:rFonts w:ascii="Calibri" w:hAnsi="Calibri" w:cs="Calibri" w:eastAsia="Calibri"/>
        </w:rPr>
        <w:t xml:space="preserve">) tested the three assumptions that matter for time series:</w:t>
      </w:r>
    </w:p>
    <w:p>
      <w:pPr>
        <w:pStyle w:val="Compact"/>
        <w:numPr>
          <w:ilvl w:val="1"/>
          <w:numId w:val="1006"/>
        </w:numPr>
      </w:pPr>
      <w:r>
        <w:rPr>
          <w:rFonts w:ascii="Calibri" w:hAnsi="Calibri" w:cs="Calibri" w:eastAsia="Calibri"/>
          <w:i/>
          <w:iCs/>
        </w:rPr>
        <w:t xml:space="preserve">Temporal autocorrelation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(Molly's concern): present in PAM (AR(1) φ = −0.41, LRT p = 0.001) but absent in color (φ ≈ 0, p = 1.0).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The treatment × day conclusion holds when refit with an AR(1) correlation structure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the interaction p stays ≈10⁻¹⁰ (PAM) and ≈10⁻²⁰ (color). The negative φ in PAM is what you expect from fitting a straight line to a curved trajectory.</w:t>
      </w:r>
    </w:p>
    <w:p>
      <w:pPr>
        <w:pStyle w:val="Compact"/>
        <w:numPr>
          <w:ilvl w:val="1"/>
          <w:numId w:val="1006"/>
        </w:numPr>
      </w:pPr>
      <w:r>
        <w:rPr>
          <w:rFonts w:ascii="Calibri" w:hAnsi="Calibri" w:cs="Calibri" w:eastAsia="Calibri"/>
          <w:i/>
          <w:iCs/>
        </w:rPr>
        <w:t xml:space="preserve">Random slopes</w:t>
      </w:r>
      <w:r>
        <w:rPr>
          <w:rFonts w:ascii="Calibri" w:hAnsi="Calibri" w:cs="Calibri" w:eastAsia="Calibri"/>
        </w:rPr>
        <w:t xml:space="preserve">: a random slope of day by coral significantly improves fit for both PAM (LRT p &lt; 10⁻⁵) and color (p &lt; 10⁻¹⁸) — individual corals follow different decline trajectories — so the intercept-only model understates among-individual variation without biasing the fixed-effect treatment × day inference.</w:t>
      </w:r>
    </w:p>
    <w:p>
      <w:pPr>
        <w:pStyle w:val="Compact"/>
        <w:numPr>
          <w:ilvl w:val="1"/>
          <w:numId w:val="1006"/>
        </w:numPr>
      </w:pPr>
      <w:r>
        <w:rPr>
          <w:rFonts w:ascii="Calibri" w:hAnsi="Calibri" w:cs="Calibri" w:eastAsia="Calibri"/>
          <w:i/>
          <w:iCs/>
        </w:rPr>
        <w:t xml:space="preserve">Linearity of time</w:t>
      </w:r>
      <w:r>
        <w:rPr>
          <w:rFonts w:ascii="Calibri" w:hAnsi="Calibri" w:cs="Calibri" w:eastAsia="Calibri"/>
        </w:rPr>
        <w:t xml:space="preserve">: all three trajectories (PAM p = 0.007, color p = 4×10⁻⁴, symbionts p = 0.013) are significantly nonlinear (decline speeds up). The linear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term is therefore an approximation of the main directional trend; per-day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emmeans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contrasts (above) capture the actual timepoint-specific divergence without assuming linearity.</w:t>
      </w:r>
    </w:p>
    <w:p>
      <w:pPr>
        <w:numPr>
          <w:ilvl w:val="0"/>
          <w:numId w:val="1000"/>
        </w:numPr>
      </w:pPr>
      <w:r>
        <w:rPr>
          <w:rFonts w:ascii="Calibri" w:hAnsi="Calibri" w:cs="Calibri" w:eastAsia="Calibri"/>
        </w:rPr>
        <w:t xml:space="preserve">None of these change the qualitative conclusions. We tested whether upgrading the headline models is warranted by fitting the full "maximum-rigor" specification — quadratic time + random slopes, plus AR(1) for PAM — and comparing it head-to-head against the current model on the reported day-14 heat effect (</w:t>
      </w:r>
      <w:r>
        <w:rPr>
          <w:rFonts w:ascii="Calibri" w:hAnsi="Calibri" w:cs="Calibri" w:eastAsia="Calibri"/>
          <w:rStyle w:val="VerbatimChar"/>
        </w:rPr>
        <w:t xml:space="preserve">code/sensitivity/24_headline_model_comparison.R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output/tables/24_headline_model_comparison.csv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output/diagnostics/J_headline_model_comparison.md</w:t>
      </w:r>
      <w:r>
        <w:rPr>
          <w:rFonts w:ascii="Calibri" w:hAnsi="Calibri" w:cs="Calibri" w:eastAsia="Calibri"/>
        </w:rPr>
        <w:t xml:space="preserve">):</w:t>
      </w:r>
    </w:p>
    <w:p>
      <w:pPr>
        <w:pStyle w:val="Compact"/>
        <w:numPr>
          <w:ilvl w:val="1"/>
          <w:numId w:val="1007"/>
        </w:numPr>
      </w:pPr>
      <w:r>
        <w:rPr>
          <w:rFonts w:ascii="Calibri" w:hAnsi="Calibri" w:cs="Calibri" w:eastAsia="Calibri"/>
        </w:rPr>
        <w:t xml:space="preserve">The day-14 effect size shifts by only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+12.5% (PAM, 0.084 → 0.094)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+9.4% (color, 1.15 → 1.26)</w:t>
      </w:r>
      <w:r>
        <w:rPr>
          <w:rFonts w:ascii="Calibri" w:hAnsi="Calibri" w:cs="Calibri" w:eastAsia="Calibri"/>
        </w:rPr>
        <w:t xml:space="preserve">, staying highly significant in every specification — conclusion unchanged.</w:t>
      </w:r>
    </w:p>
    <w:p>
      <w:pPr>
        <w:pStyle w:val="Compact"/>
        <w:numPr>
          <w:ilvl w:val="1"/>
          <w:numId w:val="1007"/>
        </w:numPr>
      </w:pPr>
      <w:r>
        <w:rPr>
          <w:rFonts w:ascii="Calibri" w:hAnsi="Calibri" w:cs="Calibri" w:eastAsia="Calibri"/>
        </w:rPr>
        <w:t xml:space="preserve">The quadratic-time + random-slope model with the full four-way interaction has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worse AIC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than the linear/intercept model (PAM −1199 → −1051; color 234 → 251): the fit does not justify the extra interaction parameters. The AR(1) model for PAM does improve AIC (−1199 → −1226), confirming the autocorrelation is real, but its day-14 effect (0.083) is nearly identical to the current model (0.084).</w:t>
      </w:r>
    </w:p>
    <w:p>
      <w:pPr>
        <w:numPr>
          <w:ilvl w:val="0"/>
          <w:numId w:val="1000"/>
        </w:numPr>
      </w:pPr>
      <w:r>
        <w:rPr>
          <w:rFonts w:ascii="Calibri" w:hAnsi="Calibri" w:cs="Calibri" w:eastAsia="Calibri"/>
          <w:b/>
          <w:bCs/>
        </w:rPr>
        <w:t xml:space="preserve">Verdict: we keep the simpler linear / random-intercept model for the headline.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The richer model neither changes the conclusions nor improves the fit (except AR(1) for PAM, which leaves the estimates unchanged), so the simplification is justified. Residual ACF plots are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figures/diagnostics/I_*_acf.png</w:t>
      </w:r>
      <w:r>
        <w:rPr>
          <w:rFonts w:ascii="Calibri" w:hAnsi="Calibri" w:cs="Calibri" w:eastAsia="Calibri"/>
        </w:rPr>
        <w:t xml:space="preserve">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 xml:space="preserve">Type-III ANOVA correction.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The continuous mixed models are now fit with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lmerTest::lmer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and reported with Satterthwaite type-III ANOVA. An earlier version used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lme4::lmer</w:t>
      </w:r>
      <w:r>
        <w:rPr>
          <w:rFonts w:ascii="Calibri" w:hAnsi="Calibri" w:cs="Calibri" w:eastAsia="Calibri"/>
        </w:rPr>
        <w:t xml:space="preserve">, whose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anova(type=3)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silently returns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type-I (sequential)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sums of squares, inflating several main-effect and lower-order interaction F-values (e.g. PAM treatment main 15.8→0.05; color treatment×wound 16.9→1.04). All omnibus F/p in §1–4 are now correct type-III. The primary treatment×time interactions and per-genet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emmeans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contrasts are nearly unchanged; the effect is that genotype × heat variation is now correctly assigned to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rate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(treatment × day × thicket), and the color treatment×wound interaction is non-significant rather than significant.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 xml:space="preserve">Confirmatory vs exploratory testing.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We split tests into a-priori directed hypotheses grounded in the coral thermal-stress literature (reported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unadjusted</w:t>
      </w:r>
      <w:r>
        <w:rPr>
          <w:rFonts w:ascii="Calibri" w:hAnsi="Calibri" w:cs="Calibri" w:eastAsia="Calibri"/>
        </w:rPr>
        <w:t xml:space="preserve">, confirmatory) and exploratory tests with no strong prior (</w:t>
      </w:r>
      <w:r>
        <w:rPr>
          <w:rFonts w:ascii="Calibri" w:hAnsi="Calibri" w:cs="Calibri" w:eastAsia="Calibri"/>
          <w:b/>
          <w:bCs/>
        </w:rPr>
        <w:t xml:space="preserve">Benjamini-Hochberg corrected</w:t>
      </w:r>
      <w:r>
        <w:rPr>
          <w:rFonts w:ascii="Calibri" w:hAnsi="Calibri" w:cs="Calibri" w:eastAsia="Calibri"/>
        </w:rPr>
        <w:t xml:space="preserve">);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code/sensitivity/28_multiple_testing.R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output/tables/28_multiple_testing.csv</w:t>
      </w:r>
      <w:r>
        <w:rPr>
          <w:rFonts w:ascii="Calibri" w:hAnsi="Calibri" w:cs="Calibri" w:eastAsia="Calibri"/>
        </w:rPr>
        <w:t xml:space="preserve">. The a-priori set uses the tank-level growth permutation p and interval-censored survival p-values for timing. Five confirmatory tests are significant (PAM, color, symbionts, interval tip-exist, interval new-corallites); tank-level growth is a trend (p = 0.057). No exploratory closure-trait effect survives BH correction — heat does not robustly change wound closure. The regeneration conclusion rests on the new-corallite interval timing result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plus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the censored-fraction and healing-to-regeneration-lag statistics (§5b–c), not on a uniform signal across every tip trait.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 xml:space="preserve">Variance partitioning (ICC).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code/sensitivity/27_variance_partitioning.R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reports latent-scale ICC for every mixed model (</w:t>
      </w:r>
      <w:r>
        <w:rPr>
          <w:rFonts w:ascii="Calibri" w:hAnsi="Calibri" w:cs="Calibri" w:eastAsia="Calibri"/>
          <w:rStyle w:val="VerbatimChar"/>
        </w:rPr>
        <w:t xml:space="preserve">output/tables/27_variance_partitioning.csv</w:t>
      </w:r>
      <w:r>
        <w:rPr>
          <w:rFonts w:ascii="Calibri" w:hAnsi="Calibri" w:cs="Calibri" w:eastAsia="Calibri"/>
        </w:rPr>
        <w:t xml:space="preserve">). Tank explains a modest fraction of variance in the physiology models (PAM 22 %, color 23 %, symbionts 14 %); among morphology traits, tip-extension has a high tank ICC (0.83) while most others are 0.06–0.40 — supporting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(1|tank)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random effect.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 xml:space="preserve">Probability-scale morphology contrasts.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Besides log-odds,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code/sensitivity/29_morphology_prob_contrasts.R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reports treatment contrasts on the easier-to-read Δ-probability scale (plus odds ratios) at day 10 (</w:t>
      </w:r>
      <w:r>
        <w:rPr>
          <w:rFonts w:ascii="Calibri" w:hAnsi="Calibri" w:cs="Calibri" w:eastAsia="Calibri"/>
          <w:rStyle w:val="VerbatimChar"/>
        </w:rPr>
        <w:t xml:space="preserve">output/tables/29_morphology_prob_contrasts.csv</w:t>
      </w:r>
      <w:r>
        <w:rPr>
          <w:rFonts w:ascii="Calibri" w:hAnsi="Calibri" w:cs="Calibri" w:eastAsia="Calibri"/>
        </w:rPr>
        <w:t xml:space="preserve">); late traits like new corallites have not yet diverged at day 10, so the interval-censored timing/KM framing (§5b–c) stays the primary tool for those.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 xml:space="preserve">Diagnostic coverage (complete).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Every fitted model has both a result visualization and a residual/assumption diagnostic, audited by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code/sensitivity/25_model_diagnostic_coverage.R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</w:t>
      </w:r>
      <w:r>
        <w:rPr>
          <w:rFonts w:ascii="Calibri" w:hAnsi="Calibri" w:cs="Calibri" w:eastAsia="Calibri"/>
          <w:rStyle w:val="VerbatimChar"/>
        </w:rPr>
        <w:t xml:space="preserve">output/tables/25_model_diagnostic_coverage.csv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output/diagnostics/K_model_coverage_report.md</w:t>
      </w:r>
      <w:r>
        <w:rPr>
          <w:rFonts w:ascii="Calibri" w:hAnsi="Calibri" w:cs="Calibri" w:eastAsia="Calibri"/>
        </w:rPr>
        <w:t xml:space="preserve">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32/32 models covered, 0 gaps.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Continuous LMMs and GLMMs use DHARMa simulated-residual plots where applicable; the ordinal color model uses an observed-vs-fitted check; the penalized morphology GLMMs each have a DHARMa plot; 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all six overall Cox models now have proportional-hazards (Schoenfeld) diagnostics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</w:t>
      </w:r>
      <w:r>
        <w:rPr>
          <w:rFonts w:ascii="Calibri" w:hAnsi="Calibri" w:cs="Calibri" w:eastAsia="Calibri"/>
          <w:rStyle w:val="VerbatimChar"/>
        </w:rPr>
        <w:t xml:space="preserve">figures/diagnostics/14_cox_ph_*.png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output/tables/14_cox_ph_tests.csv</w:t>
      </w:r>
      <w:r>
        <w:rPr>
          <w:rFonts w:ascii="Calibri" w:hAnsi="Calibri" w:cs="Calibri" w:eastAsia="Calibri"/>
        </w:rPr>
        <w:t xml:space="preserve">) — the PH assumption is met for every overall model (all cox.zph p ≥ 0.059). The headline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new_corallites_on_tip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model is closest to the boundary (cox.zph p = 0.059), so its hazard ratio is best read alongside its interval-censored timing model, Kaplan–Meier curve, and the lag statistic (§5b–c) rather than in isolation. Every diagnostic test statistic is also recorded in the master results table (</w:t>
      </w:r>
      <w:r>
        <w:rPr>
          <w:rFonts w:ascii="Calibri" w:hAnsi="Calibri" w:cs="Calibri" w:eastAsia="Calibri"/>
          <w:rStyle w:val="VerbatimChar"/>
        </w:rPr>
        <w:t xml:space="preserve">output/tables/20_master_results.csv</w:t>
      </w:r>
      <w:r>
        <w:rPr>
          <w:rFonts w:ascii="Calibri" w:hAnsi="Calibri" w:cs="Calibri" w:eastAsia="Calibri"/>
        </w:rPr>
        <w:t xml:space="preserve">, domains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Time-series diagnostic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Survival diagnostic</w:t>
      </w:r>
      <w:r>
        <w:rPr>
          <w:rFonts w:ascii="Calibri" w:hAnsi="Calibri" w:cs="Calibri" w:eastAsia="Calibri"/>
        </w:rPr>
        <w:t xml:space="preserve">).</w:t>
      </w:r>
    </w:p>
    <w:bookmarkEnd w:id="28"/>
    <w:bookmarkStart w:id="29" w:name="X2c8b7bfed3e3de00bc5d9c60016e253da965a44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11. What's still missing</w:t>
      </w:r>
    </w:p>
    <w:p>
      <w:pPr>
        <w:pStyle w:val="Compact"/>
        <w:numPr>
          <w:ilvl w:val="0"/>
          <w:numId w:val="1008"/>
        </w:numPr>
      </w:pPr>
      <w:r>
        <w:rPr>
          <w:rFonts w:ascii="Calibri" w:hAnsi="Calibri" w:cs="Calibri" w:eastAsia="Calibri"/>
          <w:b/>
          <w:bCs/>
        </w:rPr>
        <w:t xml:space="preserve">Chlorophyll-a values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chl-a was planned but ultimately not run, so it is not part of the analysis. Pigmentation/photophysiology is represented by PAM Fv/Fm, color-card scores, and symbiont density.</w:t>
      </w:r>
    </w:p>
    <w:p>
      <w:pPr>
        <w:pStyle w:val="Compact"/>
        <w:numPr>
          <w:ilvl w:val="0"/>
          <w:numId w:val="1008"/>
        </w:numPr>
      </w:pPr>
      <w:r>
        <w:rPr>
          <w:rFonts w:ascii="Calibri" w:hAnsi="Calibri" w:cs="Calibri" w:eastAsia="Calibri"/>
          <w:b/>
          <w:bCs/>
        </w:rPr>
        <w:t xml:space="preserve">Gene expression data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RNA-seq libraries at UC Davis Bay lab. Plate layout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data/raw/plate_layout/Plate_{1,2}.csv</w:t>
      </w:r>
      <w:r>
        <w:rPr>
          <w:rFonts w:ascii="Calibri" w:hAnsi="Calibri" w:cs="Calibri" w:eastAsia="Calibri"/>
        </w:rPr>
        <w:t xml:space="preserve">; sequencing plan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notes/sequencing-plan-keck-LTH.md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(144 libraries: 4 tanks × 3 genets × 2 wound × 3 days × 2 temps). Stub DESeq2 pipeline at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code/21_rnaseq_stub.R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(waiting on sequencing).</w:t>
      </w:r>
    </w:p>
    <w:p>
      <w:pPr>
        <w:pStyle w:val="Compact"/>
        <w:numPr>
          <w:ilvl w:val="0"/>
          <w:numId w:val="1008"/>
        </w:numPr>
      </w:pPr>
      <w:r>
        <w:rPr>
          <w:rFonts w:ascii="Calibri" w:hAnsi="Calibri" w:cs="Calibri" w:eastAsia="Calibri"/>
          <w:b/>
          <w:bCs/>
        </w:rPr>
        <w:t xml:space="preserve">Statistical write-up for manuscript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the phenotype Methods + Results are already written into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manuscript/Manuscript_LTH.md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from this narrative; this file (</w:t>
      </w:r>
      <w:r>
        <w:rPr>
          <w:rFonts w:ascii="Calibri" w:hAnsi="Calibri" w:cs="Calibri" w:eastAsia="Calibri"/>
          <w:rStyle w:val="VerbatimChar"/>
        </w:rPr>
        <w:t xml:space="preserve">RESULTS.docx</w:t>
      </w:r>
      <w:r>
        <w:rPr>
          <w:rFonts w:ascii="Calibri" w:hAnsi="Calibri" w:cs="Calibri" w:eastAsia="Calibri"/>
        </w:rPr>
        <w:t xml:space="preserve">) stays the authoritative phenotype results narrative, every number tracing to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output/tables/20_master_results.csv</w:t>
      </w:r>
      <w:r>
        <w:rPr>
          <w:rFonts w:ascii="Calibri" w:hAnsi="Calibri" w:cs="Calibri" w:eastAsia="Calibri"/>
        </w:rPr>
        <w:t xml:space="preserve">.</w:t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29"/>
    <w:bookmarkStart w:id="30" w:name="pipeline-integrity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Pipeline integrity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To reproduce every number and figure in this document:</w:t>
      </w:r>
    </w:p>
    <w:p>
      <w:pPr>
        <w:pStyle w:val="SourceCode"/>
      </w:pPr>
      <w:r>
        <w:rPr>
          <w:rFonts w:ascii="Calibri" w:hAnsi="Calibri" w:cs="Calibri" w:eastAsia="Calibri"/>
          <w:rStyle w:val="BuiltInTok"/>
        </w:rPr>
        <w:t xml:space="preserve">cd</w:t>
      </w:r>
      <w:r>
        <w:rPr>
          <w:rFonts w:ascii="Calibri" w:hAnsi="Calibri" w:cs="Calibri" w:eastAsia="Calibri"/>
          <w:rStyle w:val="NormalTok"/>
        </w:rPr>
        <w:t xml:space="preserve"> ~/Stier-LTH-expression-by-temperature-2025</w:t>
      </w:r>
      <w:r>
        <w:rPr>
          <w:rFonts w:ascii="Calibri" w:hAnsi="Calibri" w:cs="Calibri" w:eastAsia="Calibri"/>
        </w:rPr>
        <w:br/>
      </w:r>
      <w:r>
        <w:rPr>
          <w:rFonts w:ascii="Calibri" w:hAnsi="Calibri" w:cs="Calibri" w:eastAsia="Calibri"/>
          <w:rStyle w:val="ExtensionTok"/>
        </w:rPr>
        <w:t xml:space="preserve">Rscript</w:t>
      </w:r>
      <w:r>
        <w:rPr>
          <w:rFonts w:ascii="Calibri" w:hAnsi="Calibri" w:cs="Calibri" w:eastAsia="Calibri"/>
          <w:rStyle w:val="NormalTok"/>
        </w:rPr>
        <w:t xml:space="preserve"> code/_run_all.R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Expected runtime: ~3 minutes (Apex XML parse dominates; first run only).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R version: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4.5.2.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Key packages: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tidyverse, lme4, lmerTest, emmeans, DHARMa, MuMIn, car, broom.mixed, survival, patchwork, scales, here, janitor, readxl, xml2, ggrepel.</w:t>
      </w:r>
    </w:p>
    <w:bookmarkEnd w:id="30"/>
    <w:bookmarkEnd w:id="31"/>
    <w:sectPr>
      <w:footnotePr>
        <w:numRestart w:val="eachSect"/>
      </w:footnotePr>
      <w:pgSz w:w="12240" w:h="15840"/>
      <w:pgMar w:left="1080" w:right="108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ascii="Calibri" w:hAnsi="Calibri" w:cs="Calibri" w:eastAsia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README.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2026-07-06T01:19:48Z</dcterms:created>
  <dcterms:modified xsi:type="dcterms:W3CDTF">2026-07-06T01:19:48Z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