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Xa6279db66d82075148fa480ccb9db32b0749966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 xml:space="preserve">Figure Index — LTH (Heat × Wound ×</w:t>
      </w:r>
      <w:r>
        <w:rPr>
          <w:rFonts w:ascii="Calibri" w:hAnsi="Calibri" w:cs="Calibri" w:eastAsia="Calibri"/>
          <w:color w:val="1F3864"/>
          <w:b/>
        </w:rPr>
        <w:t xml:space="preserve"> </w:t>
      </w:r>
      <w:r>
        <w:rPr>
          <w:rFonts w:ascii="Calibri" w:hAnsi="Calibri" w:cs="Calibri" w:eastAsia="Calibri"/>
          <w:i/>
          <w:iCs/>
          <w:color w:val="1F3864"/>
          <w:b/>
        </w:rPr>
        <w:t xml:space="preserve">A. pulchra</w:t>
      </w:r>
      <w:r>
        <w:rPr>
          <w:rFonts w:ascii="Calibri" w:hAnsi="Calibri" w:cs="Calibri" w:eastAsia="Calibri"/>
          <w:color w:val="1F3864"/>
          <w:b/>
        </w:rPr>
        <w:t xml:space="preserve">, Mo'orea 2025)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 xml:space="preserve">Catalog of every figure → its script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· Updated 2026-07-02 · Index:</w:t>
      </w:r>
      <w:r>
        <w:rPr>
          <w:rFonts w:ascii="Calibri" w:hAnsi="Calibri" w:cs="Calibri" w:eastAsia="Calibri"/>
        </w:rPr>
        <w:t xml:space="preserve"> </w:t>
      </w:r>
      <w:hyperlink r:id="rId9">
        <w:r>
          <w:rPr>
            <w:rStyle w:val="VerbatimChar"/>
          </w:rPr>
          <w:t xml:space="preserve">README.md</w:t>
        </w:r>
      </w:hyperlink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· figures built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code/13–16,19,26</w:t>
      </w:r>
      <w:r>
        <w:rPr>
          <w:rFonts w:ascii="Calibri" w:hAnsi="Calibri" w:cs="Calibri" w:eastAsia="Calibri"/>
        </w:rPr>
        <w:t xml:space="preserve">.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Lists all 21 PNG figures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figures/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(each has a matching PDF),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code/NN_*.R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script that makes each, and where it appears in the manuscript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</w:t>
      </w:r>
      <w:r>
        <w:rPr>
          <w:rFonts w:ascii="Calibri" w:hAnsi="Calibri" w:cs="Calibri" w:eastAsia="Calibri"/>
          <w:rStyle w:val="VerbatimChar"/>
        </w:rPr>
        <w:t xml:space="preserve">manuscript/Manuscript_LTH.md</w:t>
      </w:r>
      <w:r>
        <w:rPr>
          <w:rFonts w:ascii="Calibri" w:hAnsi="Calibri" w:cs="Calibri" w:eastAsia="Calibri"/>
        </w:rPr>
        <w:t xml:space="preserve">).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Start w:id="10" w:name="X7af44e70c86ad6e89a06f90290247412f6d2994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Recommended reading order for a first-time reader</w:t>
      </w:r>
    </w:p>
    <w:p>
      <w:pPr>
        <w:pStyle w:val="FirstParagraph"/>
      </w:pPr>
      <w:r>
        <w:rPr>
          <w:rFonts w:ascii="Calibri" w:hAnsi="Calibri" w:cs="Calibri" w:eastAsia="Calibri"/>
        </w:rPr>
        <w:t xml:space="preserve">Five figures that tell the core story from start to finish: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 xml:space="preserve">08_apex_temperature.png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(a) treatment check: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tank temperatures held at 28 vs 31 °C (the heat ramp and steady state).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 xml:space="preserve">14_morphology_KM.png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(b) healing vs regeneration: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Kaplan–Meier curves showing that tissue still heals under heat but skeleton fails to regrow.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 xml:space="preserve">16_manuscript_fig1.png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(b+c summary: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the 4-panel publication figure — temperature, Fv/Fm, KM healing-vs-regeneration, PCA — the whole story in one figure.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 xml:space="preserve">19_genet_dashboard.png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(c) genet variation: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forest plot of standardized heat sensitivity across all responses, showing the tough genet (c) versus the sensitive ones (a, d).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  <w:rStyle w:val="VerbatimChar"/>
          <w:b/>
          <w:bCs/>
        </w:rPr>
        <w:t xml:space="preserve">26_thermal_context.png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—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(d) chronic-sublethal thermal context: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puts 28/31 °C next to Cunning et al. 2024 acute CBASS ED50s for the same species and island — 31 °C is chronic but sublethal.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0"/>
    <w:bookmarkStart w:id="11" w:name="manuscript-reference-check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Manuscript reference check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 xml:space="preserve">How the manuscript's figure references map to files: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Manuscript ref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Refers to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Real file?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 1 (A–D)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Concept plate: colony photo, mesocosm, timeline, wound micrograph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 xml:space="preserve">Not a code-generated stats figure.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Made by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plate_fig.R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(none of the 21 files is named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figures/*1*plate*.png</w:t>
            </w:r>
            <w:r>
              <w:rPr>
                <w:rFonts w:ascii="Calibri" w:hAnsi="Calibri" w:cs="Calibri" w:eastAsia="Calibri"/>
              </w:rPr>
              <w:t xml:space="preserve">). Note that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16_manuscript_fig1.png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is a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i/>
                <w:iCs/>
              </w:rPr>
              <w:t xml:space="preserve">different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4-panel figure, NOT the manuscript's "Fig 1."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2A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Apex temperature trace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08_apex_temperature.png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2B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PAM Fv/Fm trajectory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02_pam_fvfm_trajectory.png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Color (Siebeck D-scale) trajectory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03_color_trajectory.png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Growth (% skeletal mass change)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05_buoyant_weight_growth.png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2E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Symbiont density by biopsy 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06_symbiont_density_by_day.png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PCA biplot of end physiology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15_physio_PCA_biplot.png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3B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Kaplan–Meier morphology (healing vs regeneration)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14_morphology_KM.png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Genet resilience across responses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maps to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19_genet_dashboard.png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 xml:space="preserve">/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  <w:rStyle w:val="VerbatimChar"/>
              </w:rPr>
              <w:t xml:space="preserve">19b_genet_resilience_ranking.png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  <w:b/>
          <w:bCs/>
        </w:rPr>
        <w:t xml:space="preserve">Important: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In the manuscript, Fig. 2 and Fig. 3 are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 xml:space="preserve">composite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figures. Each lettered panel comes from one of the scripts above, assembled at publication.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code/16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also builds a standalone 4-panel overview (</w:t>
      </w:r>
      <w:r>
        <w:rPr>
          <w:rFonts w:ascii="Calibri" w:hAnsi="Calibri" w:cs="Calibri" w:eastAsia="Calibri"/>
          <w:rStyle w:val="VerbatimChar"/>
        </w:rPr>
        <w:t xml:space="preserve">16_manuscript_fig1</w:t>
      </w:r>
      <w:r>
        <w:rPr>
          <w:rFonts w:ascii="Calibri" w:hAnsi="Calibri" w:cs="Calibri" w:eastAsia="Calibri"/>
        </w:rPr>
        <w:t xml:space="preserve">). With this panel-to-script mapping applied, every manuscript figure reference points to a real file.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Missing-reference flags: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none. Every Fig 1/2/3 reference matches a generated panel.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 xml:space="preserve">Orphan figures (never cited as a numbered manuscript Fig):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04_morphology_trajectories.png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04b_morphology_trajectories_by_genet.png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07_wax_standard_curve.png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08b_apex_temperature_full.png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09_ysi_water_chem.png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10_worm_presence.png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13_genet_response_panel.png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14b_morphology_KM_by_genet.png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15b_physio_PCA_by_genet.png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16_manuscript_fig1.png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(standalone 4-panel build, not cited by number),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19b_genet_resilience_ranking.png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19c_decomposed_resilience.png</w:t>
      </w:r>
      <w:r>
        <w:rPr>
          <w:rFonts w:ascii="Calibri" w:hAnsi="Calibri" w:cs="Calibri" w:eastAsia="Calibri"/>
        </w:rPr>
        <w:t xml:space="preserve"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 xml:space="preserve">26_thermal_context.png</w:t>
      </w:r>
      <w:r>
        <w:rPr>
          <w:rFonts w:ascii="Calibri" w:hAnsi="Calibri" w:cs="Calibri" w:eastAsia="Calibri"/>
        </w:rPr>
        <w:t xml:space="preserve">. These are supporting figures, diagnostics, by-genet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 xml:space="preserve">variants, and extra context — not numbered main-text figures.</w:t>
      </w:r>
    </w:p>
    <w:p>
      <w:r>
        <w:rPr>
          <w:rFonts w:ascii="Calibri" w:hAnsi="Calibri" w:cs="Calibri" w:eastAsia="Calibri"/>
        </w:rPr>
        <w:pict>
          <v:rect style="width:0;height:1.5pt" o:hralign="center" o:hrstd="t" o:hr="t"/>
        </w:pict>
      </w:r>
    </w:p>
    <w:bookmarkEnd w:id="11"/>
    <w:bookmarkStart w:id="12" w:name="full-catalog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 xml:space="preserve">Full catalog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File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What it shows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Generating script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 xml:space="preserve">Manuscript fig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02_pam_fvfm_trajectory.png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PAM Fv/Fm trajectories by treatment × wound × day, 95% CI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code/02_pam_analysis.R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2B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03_color_trajectory.png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Color-card pigmentation (Siebeck D-scale) trajectory + paling tallies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code/03_color_card_analysis.R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2C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04_morphology_trajectories.png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8 binary wound-healing traits, cumulative proportion by day × treatment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code/04_physio_morphology.R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04b_morphology_trajectories_by_genet.png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Same morphology trajectories, split by genet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code/04_physio_morphology.R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05_buoyant_weight_growth.png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Growth (% skeletal mass change) from buoyant weight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code/05_buoyant_weight.R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2D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06_symbiont_density_by_day.png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Symbiont density (cells/cm²) by biopsy 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code/06_symbiont_chl.R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07_wax_standard_curve.png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Wax-dipping surface-area calibration standard curve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code/07_wax_dipping.R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08_apex_temperature.png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Apex per-tank temperature: heat ramp + steady-state (treatment validation)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code/08_apex_temperature.R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2A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08b_apex_temperature_full.png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Full-datalog Apex temperature incl. ramps and cooldowns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code/08_apex_temperature.R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09_ysi_water_chem.png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Daily YSI spot checks: temp, DO%, DO mg/L, salinity, pH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code/09_ysi_water_chem.R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10_worm_presence.png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Acropora-eating flatworm presence tally per tank/treatment (contamination check)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code/10_worms.R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13_genet_response_panel.png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4-panel reaction norms: each genet's mean response shift under heating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code/13_genet_interaction.R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14_morphology_KM.png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Kaplan–Meier time-to-onset curves by treatment (healing vs regeneration traits)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code/14_morphology_kaplan.R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3B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14b_morphology_KM_by_genet.png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Kaplan–Meier curves by treatment × genet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code/14_morphology_kaplan.R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15_physio_PCA_biplot.png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PCA biplot of end-of-experiment physiology (thermal-stress axis)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code/15_multivariate.R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3A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15b_physio_PCA_by_genet.png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PCA biplot faceted by genet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code/15_multivariate.R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16_manuscript_fig1.png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Standalone 4-panel publication figure: temp / Fv/Fm / KM healing-vs-regen / PCA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code/16_main_figure.R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 (integrative build)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19_genet_dashboard.png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Forest plot of standardized heat sensitivity across all responses, per genet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code/19_genet_dashboard.R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3C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19b_genet_resilience_ranking.png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Composite thermal-resilience score ranking per genet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code/19_genet_dashboard.R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Fig. 3C (companion)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19c_decomposed_resilience.png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Heat sensitivity decomposed by wound state (wounded vs unwounded)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code/19_genet_dashboard.R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26_thermal_context.png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LTH 28/31 °C vs Cunning et al. 2024 acute CBASS ED50s — chronic-sublethal context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rStyle w:val="VerbatimChar"/>
              </w:rPr>
              <w:t xml:space="preserve">code/sensitivity/26_thermal_context.R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 xml:space="preserve">—</w:t>
            </w:r>
          </w:p>
        </w:tc>
      </w:tr>
    </w:tbl>
    <w:bookmarkEnd w:id="12"/>
    <w:bookmarkEnd w:id="13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../README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..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2026-07-06T01:19:48Z</dcterms:created>
  <dcterms:modified xsi:type="dcterms:W3CDTF">2026-07-06T01:19:48Z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