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lth-rna-seq--handoff-notes-for-shreya"/>
    <w:p>
      <w:pPr>
        <w:pStyle w:val="Heading1"/>
      </w:pPr>
      <w:r>
        <w:t xml:space="preserve">LTH RNA-seq — handoff notes for Shreya</w:t>
      </w:r>
    </w:p>
    <w:p>
      <w:pPr>
        <w:pStyle w:val="FirstParagraph"/>
      </w:pPr>
      <w:r>
        <w:rPr>
          <w:i/>
          <w:iCs/>
        </w:rPr>
        <w:t xml:space="preserve">LTH #17 — heat × wound ×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Acropora pulchra</w:t>
      </w:r>
      <w:r>
        <w:rPr>
          <w:i/>
          <w:iCs/>
        </w:rPr>
        <w:t xml:space="preserve">, Mahana/Tiahura, Mo'orea 2025.</w:t>
      </w:r>
    </w:p>
    <w:p>
      <w:pPr>
        <w:pStyle w:val="BodyText"/>
      </w:pPr>
      <w:r>
        <w:t xml:space="preserve">Hi Shreya — here's a quick map of the phenotype half so you can dig in. It's all in the repo; the paths below point to the detail. Treat any analysis idea here as a starting point, not a recipe — the expression side is yours.</w:t>
      </w:r>
    </w:p>
    <w:bookmarkStart w:id="9" w:name="where-things-are"/>
    <w:p>
      <w:pPr>
        <w:pStyle w:val="Heading2"/>
      </w:pPr>
      <w:r>
        <w:t xml:space="preserve">Where things are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(repo root) — how to run everything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RESULTS.md</w:t>
      </w:r>
      <w:r>
        <w:t xml:space="preserve"> </w:t>
      </w:r>
      <w:r>
        <w:t xml:space="preserve">— full results + limitations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output/tables/20_master_results.csv</w:t>
      </w:r>
      <w:r>
        <w:t xml:space="preserve"> </w:t>
      </w:r>
      <w:r>
        <w:t xml:space="preserve">— every stat (effect size, test, df, p, CI). Cite this; don't retype numbers.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output/tables/31_rnaseq_phenotype_covariates.csv</w:t>
      </w:r>
      <w:r>
        <w:t xml:space="preserve"> </w:t>
      </w:r>
      <w:r>
        <w:t xml:space="preserve">— per-library phenotype covariates (join by</w:t>
      </w:r>
      <w:r>
        <w:t xml:space="preserve"> </w:t>
      </w:r>
      <w:r>
        <w:rPr>
          <w:rStyle w:val="VerbatimChar"/>
        </w:rPr>
        <w:t xml:space="preserve">Fragment_ID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output/tables/19_genet_resilience_summary.csv</w:t>
      </w:r>
      <w:r>
        <w:t xml:space="preserve"> </w:t>
      </w:r>
      <w:r>
        <w:t xml:space="preserve">— per-genet resilience scores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docs/for_shreya/candidate_genes_reference.csv</w:t>
      </w:r>
      <w:r>
        <w:t xml:space="preserve"> </w:t>
      </w:r>
      <w:r>
        <w:t xml:space="preserve">— verified candidate genes with sources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literature/LITERATURE.md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manuscript/references.bib</w:t>
      </w:r>
      <w:r>
        <w:t xml:space="preserve"> </w:t>
      </w:r>
      <w:r>
        <w:t xml:space="preserve">— references + PDFs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notes/archive/sequencing-plan-keck-LTH.md</w:t>
      </w:r>
      <w:r>
        <w:t xml:space="preserve"> </w:t>
      </w:r>
      <w:r>
        <w:t xml:space="preserve">— plate design, QC, timeline</w:t>
      </w:r>
    </w:p>
    <w:bookmarkEnd w:id="9"/>
    <w:bookmarkStart w:id="10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2"/>
        </w:numPr>
      </w:pPr>
      <w:r>
        <w:t xml:space="preserve">The phenotype half is done and rebuilds from one command:</w:t>
      </w:r>
      <w:r>
        <w:t xml:space="preserve"> </w:t>
      </w:r>
      <w:r>
        <w:rPr>
          <w:rStyle w:val="VerbatimChar"/>
        </w:rPr>
        <w:t xml:space="preserve">Rscript code/_run_all.R</w:t>
      </w:r>
      <w:r>
        <w:t xml:space="preserve"> </w:t>
      </w:r>
      <w:r>
        <w:t xml:space="preserve">(~4 min). It's written up in</w:t>
      </w:r>
      <w:r>
        <w:t xml:space="preserve"> </w:t>
      </w:r>
      <w:r>
        <w:rPr>
          <w:rStyle w:val="VerbatimChar"/>
        </w:rPr>
        <w:t xml:space="preserve">manuscript/Manuscript_LTH.md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RNA-seq libraries are waiting to be sequenced — that's the open piece.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code/30_manuscript_audit.R</w:t>
      </w:r>
      <w:r>
        <w:t xml:space="preserve"> </w:t>
      </w:r>
      <w:r>
        <w:t xml:space="preserve">re-checks the phenotype numbers (15/15 pass). It doesn't touch the narrative or the transcriptomics.</w:t>
      </w:r>
    </w:p>
    <w:bookmarkEnd w:id="10"/>
    <w:bookmarkStart w:id="11" w:name="library-design-as-built"/>
    <w:p>
      <w:pPr>
        <w:pStyle w:val="Heading2"/>
      </w:pPr>
      <w:r>
        <w:t xml:space="preserve">Library design (as built)</w:t>
      </w:r>
    </w:p>
    <w:p>
      <w:pPr>
        <w:pStyle w:val="Compact"/>
        <w:numPr>
          <w:ilvl w:val="0"/>
          <w:numId w:val="1003"/>
        </w:numPr>
      </w:pPr>
      <w:r>
        <w:t xml:space="preserve">144 libraries = 4 tanks × 3 genets × 2 wound × 3 days × 2 temps</w:t>
      </w:r>
    </w:p>
    <w:p>
      <w:pPr>
        <w:pStyle w:val="Compact"/>
        <w:numPr>
          <w:ilvl w:val="0"/>
          <w:numId w:val="1003"/>
        </w:numPr>
      </w:pPr>
      <w:r>
        <w:t xml:space="preserve">28 °C (ambient) vs 31 °C (chronic heat, weeks)</w:t>
      </w:r>
    </w:p>
    <w:p>
      <w:pPr>
        <w:pStyle w:val="Compact"/>
        <w:numPr>
          <w:ilvl w:val="0"/>
          <w:numId w:val="1003"/>
        </w:numPr>
      </w:pPr>
      <w:r>
        <w:t xml:space="preserve">Wounded (clipped tip / ~1 cm² scrape) vs sham</w:t>
      </w:r>
    </w:p>
    <w:p>
      <w:pPr>
        <w:pStyle w:val="Compact"/>
        <w:numPr>
          <w:ilvl w:val="0"/>
          <w:numId w:val="1003"/>
        </w:numPr>
      </w:pPr>
      <w:r>
        <w:t xml:space="preserve">3 field thickets A, C, D (labels are arbitrary)</w:t>
      </w:r>
    </w:p>
    <w:p>
      <w:pPr>
        <w:pStyle w:val="Compact"/>
        <w:numPr>
          <w:ilvl w:val="0"/>
          <w:numId w:val="1003"/>
        </w:numPr>
      </w:pPr>
      <w:r>
        <w:t xml:space="preserve">Wound-margin biopsy vs matched unwounded margin</w:t>
      </w:r>
    </w:p>
    <w:p>
      <w:pPr>
        <w:pStyle w:val="Compact"/>
        <w:numPr>
          <w:ilvl w:val="0"/>
          <w:numId w:val="1003"/>
        </w:numPr>
      </w:pPr>
      <w:r>
        <w:t xml:space="preserve">Days 1, 3, 10 (Day 15 was sampled but we didn't analyze it)</w:t>
      </w:r>
    </w:p>
    <w:p>
      <w:pPr>
        <w:pStyle w:val="Compact"/>
        <w:numPr>
          <w:ilvl w:val="0"/>
          <w:numId w:val="1003"/>
        </w:numPr>
      </w:pPr>
      <w:r>
        <w:t xml:space="preserve">Two 96-well plates, everything orthogonal to plate and lane, one NovaSeq 25B lane. Plating, QC, and timeline are in the sequencing plan.</w:t>
      </w:r>
    </w:p>
    <w:bookmarkEnd w:id="11"/>
    <w:bookmarkStart w:id="12" w:name="what-the-phenotype-data-are-asking"/>
    <w:p>
      <w:pPr>
        <w:pStyle w:val="Heading2"/>
      </w:pPr>
      <w:r>
        <w:t xml:space="preserve">What the phenotype data are asking</w:t>
      </w:r>
    </w:p>
    <w:p>
      <w:pPr>
        <w:pStyle w:val="FirstParagraph"/>
      </w:pPr>
      <w:r>
        <w:t xml:space="preserve">You pick the model. Each of these can confirm, extend, or revise a phenotype result — we're naming processes, not genes, so keep discovery genome-wide.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Does heat block regeneration but spare healing?</w:t>
      </w:r>
      <w:r>
        <w:t xml:space="preserve"> </w:t>
      </w:r>
      <w:r>
        <w:t xml:space="preserve">Wounds close the same at both temps, but new corallites stall under heat (time ratio 1.32, p = 1.4e-7; Cox HR 0.22; 67% closed-but-never-regrew at 31 °C vs 0% at 28 °C). Look at temp × timepoint in wounded margins — clearest at Day 10.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is genet C tougher?</w:t>
      </w:r>
      <w:r>
        <w:t xml:space="preserve"> </w:t>
      </w:r>
      <w:r>
        <w:t xml:space="preserve">It keeps its photochemistry, color, and symbionts far better (heat hits it 2.7–3.5× less than A/D; multivariate shift 1.02 vs 3.71 A / 3.38 D). Could be a smaller heat response, or a frontloaded baseline. Look at genet (C vs A, D) × temp in unwounded margins.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Chronic, not an acute heat-shock spike?</w:t>
      </w:r>
      <w:r>
        <w:t xml:space="preserve"> </w:t>
      </w:r>
      <w:r>
        <w:t xml:space="preserve">31 °C is ~4.4 °C under the acute ED50 (35.4 °C; Cunning et al. 2024), and wounding happened 7 days into the heat — so expect sustained/frontloaded signals, not a quick HSP70 burst.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Does wounding flatten the genet differences?</w:t>
      </w:r>
      <w:r>
        <w:t xml:space="preserve"> </w:t>
      </w:r>
      <w:r>
        <w:t xml:space="preserve">The genet spread is big unwounded (A 0.99, D 0.87, C 0.44) and shrinks when wounded (A 0.36, D 0.26, C 0.28).</w:t>
      </w:r>
    </w:p>
    <w:bookmarkEnd w:id="12"/>
    <w:bookmarkStart w:id="13" w:name="genet-matching--worth-chasing"/>
    <w:p>
      <w:pPr>
        <w:pStyle w:val="Heading2"/>
      </w:pPr>
      <w:r>
        <w:t xml:space="preserve">Genet-matching — worth chasing</w:t>
      </w:r>
    </w:p>
    <w:p>
      <w:pPr>
        <w:pStyle w:val="FirstParagraph"/>
      </w:pPr>
      <w:r>
        <w:t xml:space="preserve">Cunning et al. 2024 (</w:t>
      </w:r>
      <w:r>
        <w:rPr>
          <w:i/>
          <w:iCs/>
        </w:rPr>
        <w:t xml:space="preserve">Coral Reefs</w:t>
      </w:r>
      <w:r>
        <w:t xml:space="preserve">, doi:10.1007/s00338-024-02577-7) has acute CBASS ED50 for 20 genotyped</w:t>
      </w:r>
      <w:r>
        <w:t xml:space="preserve"> </w:t>
      </w:r>
      <w:r>
        <w:rPr>
          <w:i/>
          <w:iCs/>
        </w:rPr>
        <w:t xml:space="preserve">A. pulchra</w:t>
      </w:r>
      <w:r>
        <w:t xml:space="preserve"> </w:t>
      </w:r>
      <w:r>
        <w:t xml:space="preserve">genets from the same Mahana site.</w:t>
      </w:r>
    </w:p>
    <w:p>
      <w:pPr>
        <w:pStyle w:val="Compact"/>
        <w:numPr>
          <w:ilvl w:val="0"/>
          <w:numId w:val="1005"/>
        </w:numPr>
      </w:pPr>
      <w:r>
        <w:t xml:space="preserve">Call SNPs from the host reads, match A/C/D to their genets, and test whether acute ED50 predicts our chronic ranking</w:t>
      </w:r>
      <w:r>
        <w:t xml:space="preserve"> </w:t>
      </w:r>
      <w:r>
        <w:rPr>
          <w:b/>
          <w:bCs/>
        </w:rPr>
        <w:t xml:space="preserve">C &gt; D &gt; A</w:t>
      </w:r>
      <w:r>
        <w:t xml:space="preserve"> </w:t>
      </w:r>
      <w:r>
        <w:t xml:space="preserve">— a nice cross-method check.</w:t>
      </w:r>
    </w:p>
    <w:p>
      <w:pPr>
        <w:pStyle w:val="Compact"/>
        <w:numPr>
          <w:ilvl w:val="0"/>
          <w:numId w:val="1005"/>
        </w:numPr>
      </w:pPr>
      <w:r>
        <w:t xml:space="preserve">Their genotypes:</w:t>
      </w:r>
      <w:r>
        <w:t xml:space="preserve"> </w:t>
      </w:r>
      <w:r>
        <w:rPr>
          <w:rStyle w:val="VerbatimChar"/>
        </w:rPr>
        <w:t xml:space="preserve">github.com/jrcunning/CBASS_methods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 matching doesn't work, the population-level point still stands: both methods find heritable heat-tolerance variation at Mahana.</w:t>
      </w:r>
    </w:p>
    <w:bookmarkEnd w:id="13"/>
    <w:bookmarkStart w:id="14" w:name="candidate-genes-optional"/>
    <w:p>
      <w:pPr>
        <w:pStyle w:val="Heading2"/>
      </w:pPr>
      <w:r>
        <w:t xml:space="preserve">Candidate genes (optional)</w:t>
      </w:r>
    </w:p>
    <w:p>
      <w:pPr>
        <w:pStyle w:val="FirstParagraph"/>
      </w:pPr>
      <w:r>
        <w:t xml:space="preserve">Background for interpretation, not a panel — don't filter DE to these. Verified gene→paper tables are in</w:t>
      </w:r>
      <w:r>
        <w:t xml:space="preserve"> </w:t>
      </w:r>
      <w:r>
        <w:rPr>
          <w:rStyle w:val="VerbatimChar"/>
        </w:rPr>
        <w:t xml:space="preserve">candidate_genes_reference.csv</w:t>
      </w:r>
      <w:r>
        <w:t xml:space="preserve">; DOIs and PDFs are in</w:t>
      </w:r>
      <w:r>
        <w:t xml:space="preserve"> </w:t>
      </w:r>
      <w:r>
        <w:rPr>
          <w:rStyle w:val="VerbatimChar"/>
        </w:rPr>
        <w:t xml:space="preserve">literature/LITERATURE.md</w:t>
      </w:r>
      <w:r>
        <w:t xml:space="preserve">. Two ways to read the data: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Frontloading</w:t>
      </w:r>
      <w:r>
        <w:t xml:space="preserve"> </w:t>
      </w:r>
      <w:r>
        <w:t xml:space="preserve">(Barshis 2013): tolerance = a higher baseline, not a bigger induction → compare per-genet baselines (the molecular version of C &gt; D &gt; 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Heat-tolerance ↔ growth tradeoff</w:t>
      </w:r>
      <w:r>
        <w:t xml:space="preserve"> </w:t>
      </w:r>
      <w:r>
        <w:t xml:space="preserve">(Cornwell 2021): tougher colonies grow less → a candidate reason for the 34% lower growth at 31 °C.</w:t>
      </w:r>
    </w:p>
    <w:p>
      <w:pPr>
        <w:pStyle w:val="FirstParagraph"/>
      </w:pPr>
      <w:r>
        <w:t xml:space="preserve">Map these to loci against the</w:t>
      </w:r>
      <w:r>
        <w:t xml:space="preserve"> </w:t>
      </w:r>
      <w:r>
        <w:rPr>
          <w:i/>
          <w:iCs/>
        </w:rPr>
        <w:t xml:space="preserve">A. pulchra</w:t>
      </w:r>
      <w:r>
        <w:t xml:space="preserve"> </w:t>
      </w:r>
      <w:r>
        <w:t xml:space="preserve">Conn 2025 genome first, and think pathways, not single genes.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2026-07-02T13:38:14Z</dcterms:created>
  <dcterms:modified xsi:type="dcterms:W3CDTF">2026-07-02T13:38:14Z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