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LTH RNA-seq — analysis notes</w:t>
      </w:r>
    </w:p>
    <w:bookmarkStart w:id="15" w:name="lth-rna-seq--analysis-notes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LTH RNA-seq — analysis notes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LTH #17 — heat × wound ×</w:t>
      </w:r>
      <w:r>
        <w:rPr>
          <w:rFonts w:ascii="Calibri" w:hAnsi="Calibri" w:cs="Calibri" w:eastAsia="Calibri"/>
          <w:i/>
          <w:iCs/>
        </w:rPr>
        <w:t xml:space="preserve"> </w:t>
      </w:r>
      <w:r>
        <w:rPr>
          <w:rFonts w:ascii="Calibri" w:hAnsi="Calibri" w:cs="Calibri" w:eastAsia="Calibri"/>
          <w:i/>
          <w:i/>
          <w:iCs/>
          <w:iCs/>
        </w:rPr>
        <w:t xml:space="preserve">Acropora pulchra</w:t>
      </w:r>
      <w:r>
        <w:rPr>
          <w:rFonts w:ascii="Calibri" w:hAnsi="Calibri" w:cs="Calibri" w:eastAsia="Calibri"/>
          <w:i/>
          <w:iCs/>
        </w:rPr>
        <w:t xml:space="preserve">, Mahana/Tiahura, Mo'orea 2025.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A quick map of the phenotype half. It's all in the repo; the paths below point to the detail. Treat any analysis idea here as a starting point, not a recipe.</w:t>
      </w:r>
    </w:p>
    <w:bookmarkStart w:id="9" w:name="where-things-ar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Where things are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README.md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(repo root) — how to run everything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RESULTS.md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full results + limitations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every stat (effect size, test, df, p, CI). Cite this; don't retype numbers.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output/tables/31_rnaseq_phenotype_covariates.csv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per-library phenotype covariates (join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Fragment_ID</w:t>
      </w:r>
      <w:r>
        <w:rPr>
          <w:rFonts w:ascii="Calibri" w:hAnsi="Calibri" w:cs="Calibri" w:eastAsia="Calibri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output/tables/19_genet_resilience_summary.csv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per-genet resilience scores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docs/rnaseq/candidate_genes_reference.csv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verified candidate genes with sources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literature/LITERATURE.md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manuscript/references.bib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references + PDFs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</w:rPr>
        <w:t xml:space="preserve">notes/archive/sequencing-plan-keck-LTH.md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plate design, QC, timeline</w:t>
      </w:r>
    </w:p>
    <w:bookmarkEnd w:id="9"/>
    <w:bookmarkStart w:id="10" w:name="statu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The phenotype half is done and rebuilds from one command: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Rscript code/_run_all.R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(~4 min). It's written up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manuscript/Manuscript_LTH.md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</w:rPr>
        <w:t xml:space="preserve">The RNA-seq libraries are waiting to be sequenced — that's the open piece.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rStyle w:val="VerbatimChar"/>
        </w:rPr>
        <w:t xml:space="preserve">code/30_manuscript_audit.R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re-checks the phenotype numbers (15/15 pass). It doesn't touch the narrative or the transcriptomics.</w:t>
      </w:r>
    </w:p>
    <w:bookmarkEnd w:id="10"/>
    <w:bookmarkStart w:id="11" w:name="library-design-as-buil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Library design (as built)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144 libraries = 4 tanks × 3 genets × 2 wound × 3 days × 2 temps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28 °C (ambient) vs 31 °C (chronic heat, weeks)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Wounded (clipped tip / ~1 cm² scrape) vs sham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3 field thickets A, C, D (labels are arbitrary)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Wound-margin biopsy vs matched unwounded margin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Days 1, 3, 10 (Day 15 was sampled but we didn't analyze it)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</w:rPr>
        <w:t xml:space="preserve">Two 96-well plates, everything orthogonal to plate and lane, one NovaSeq 25B lane. Plating, QC, and timeline are in the sequencing plan.</w:t>
      </w:r>
    </w:p>
    <w:bookmarkEnd w:id="11"/>
    <w:bookmarkStart w:id="12" w:name="what-the-phenotype-data-are-askin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What the phenotype data are asking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You pick the model. Each of these can confirm, extend, or revise a phenotype result — we're naming processes, not genes, so keep discovery genome-wide.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Does heat block regeneration but spare healing?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Wounds close the same at both temps, but new corallites stall under heat (time ratio 1.32, p = 1.4e-7; Cox HR 0.22; 67% closed-but-never-regrew at 31 °C vs 0% at 28 °C). Look at temp × timepoint in wounded margins — clearest at Day 10.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Why is genet C tougher?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It keeps its photochemistry, color, and symbionts far better (heat hits it 2.7–3.5× less than A/D; multivariate shift 1.02 vs 3.71 A / 3.38 D). Could be a smaller heat response, or a frontloaded baseline. Look at genet (C vs A, D) × temp in unwounded margins.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Chronic, not an acute heat-shock spike?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31 °C is ~4.4 °C under the acute ED50 (35.4 °C; Cunning et al. 2024), and wounding happened 7 days into the heat — so expect sustained/frontloaded signals, not a quick HSP70 burst.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 xml:space="preserve">Does wounding flatten the genet differences?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genet spread is big unwounded (A 0.99, D 0.87, C 0.44) and shrinks when wounded (A 0.36, D 0.26, C 0.28).</w:t>
      </w:r>
    </w:p>
    <w:bookmarkEnd w:id="12"/>
    <w:bookmarkStart w:id="13" w:name="genet-matching--worth-chasin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Genet-matching — worth chasing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Cunning et al. 2024 (</w:t>
      </w:r>
      <w:r>
        <w:rPr>
          <w:rFonts w:ascii="Calibri" w:hAnsi="Calibri" w:cs="Calibri" w:eastAsia="Calibri"/>
          <w:i/>
          <w:iCs/>
        </w:rPr>
        <w:t xml:space="preserve">Coral Reefs</w:t>
      </w:r>
      <w:r>
        <w:rPr>
          <w:rFonts w:ascii="Calibri" w:hAnsi="Calibri" w:cs="Calibri" w:eastAsia="Calibri"/>
        </w:rPr>
        <w:t xml:space="preserve">, doi:10.1007/s00338-024-02577-7) has acute CBASS ED50 for 20 genotyped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genets from the same Mahana site.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 xml:space="preserve">Call SNPs from the host reads, match A/C/D to their genets, and test whether acute ED50 predicts our chronic ranking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C &gt; D &gt;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a nice cross-method check.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 xml:space="preserve">Their genotypes: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github.com/jrcunning/CBASS_methods</w:t>
      </w:r>
      <w:r>
        <w:rPr>
          <w:rFonts w:ascii="Calibri" w:hAnsi="Calibri" w:cs="Calibri" w:eastAsia="Calibri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 w:eastAsia="Calibri"/>
        </w:rPr>
        <w:t xml:space="preserve">If matching doesn't work, the population-level point still stands: both methods find heritable heat-tolerance variation at Mahana.</w:t>
      </w:r>
    </w:p>
    <w:bookmarkEnd w:id="13"/>
    <w:bookmarkStart w:id="14" w:name="candidate-genes-optional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Candidate genes (optional)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Background for interpretation, not a panel — don't filter DE to these. Verified gene→paper tables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candidate_genes_reference.csv</w:t>
      </w:r>
      <w:r>
        <w:rPr>
          <w:rFonts w:ascii="Calibri" w:hAnsi="Calibri" w:cs="Calibri" w:eastAsia="Calibri"/>
        </w:rPr>
        <w:t xml:space="preserve">; DOIs and PDFs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literature/LITERATURE.md</w:t>
      </w:r>
      <w:r>
        <w:rPr>
          <w:rFonts w:ascii="Calibri" w:hAnsi="Calibri" w:cs="Calibri" w:eastAsia="Calibri"/>
        </w:rPr>
        <w:t xml:space="preserve">. Two ways to read the data: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Frontloading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(Barshis 2013): tolerance = a higher baseline, not a bigger induction → compare per-genet baselines (the molecular version of C &gt; D &gt; A).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 w:eastAsia="Calibri"/>
          <w:b/>
          <w:bCs/>
        </w:rPr>
        <w:t xml:space="preserve">Heat-tolerance ↔ growth tradeoff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(Cornwell 2021): tougher colonies grow less → a candidate reason for the 34% lower growth at 31 °C.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Map these to loci against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Conn 2025 genome first, and think pathways, not single genes.</w:t>
      </w:r>
    </w:p>
    <w:bookmarkEnd w:id="14"/>
    <w:bookmarkEnd w:id="15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LTH RNA-seq — analysis notes</dc:title>
  <dc:creator/>
  <cp:keywords/>
  <dcterms:created xsi:type="dcterms:W3CDTF">2026-07-02T18:13:27Z</dcterms:created>
  <dcterms:modified xsi:type="dcterms:W3CDTF">2026-07-02T18:13:27Z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