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a6279db66d82075148fa480ccb9db32b0749966"/>
    <w:p>
      <w:pPr>
        <w:pStyle w:val="Heading1"/>
        <w:keepNext/>
        <w:pBdr>
          <w:bottom w:val="single" w:color="1F3864" w:sz="14" w:space="4"/>
        </w:pBdr>
        <w:spacing w:before="340" w:after="100"/>
      </w:pPr>
      <w:r>
        <w:rPr>
          <w:rFonts w:ascii="Calibri" w:hAnsi="Calibri" w:cs="Calibri" w:eastAsia="Calibri"/>
          <w:color w:val="1F3864"/>
          <w:b/>
        </w:rPr>
        <w:t xml:space="preserve">Figure Index — LTH (Heat × Wound ×</w:t>
      </w:r>
      <w:r>
        <w:rPr>
          <w:rFonts w:ascii="Calibri" w:hAnsi="Calibri" w:cs="Calibri" w:eastAsia="Calibri"/>
          <w:color w:val="1F3864"/>
          <w:b/>
        </w:rPr>
        <w:t xml:space="preserve"> </w:t>
      </w:r>
      <w:r>
        <w:rPr>
          <w:rFonts w:ascii="Calibri" w:hAnsi="Calibri" w:cs="Calibri" w:eastAsia="Calibri"/>
          <w:i/>
          <w:iCs/>
          <w:color w:val="1F3864"/>
          <w:b/>
        </w:rPr>
        <w:t xml:space="preserve">A. pulchra</w:t>
      </w:r>
      <w:r>
        <w:rPr>
          <w:rFonts w:ascii="Calibri" w:hAnsi="Calibri" w:cs="Calibri" w:eastAsia="Calibri"/>
          <w:color w:val="1F3864"/>
          <w:b/>
        </w:rPr>
        <w:t xml:space="preserve">, Mo'orea 2025)</w:t>
      </w:r>
    </w:p>
    <w:p>
      <w:pPr>
        <w:pStyle w:val="BlockText"/>
      </w:pPr>
      <w:r>
        <w:rPr>
          <w:rFonts w:ascii="Calibri" w:hAnsi="Calibri" w:cs="Calibri" w:eastAsia="Calibri"/>
          <w:b/>
          <w:bCs/>
        </w:rPr>
        <w:t xml:space="preserve">Catalog of every figure → its script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· Updated 2026-07-02 · Index:</w:t>
      </w:r>
      <w:r>
        <w:rPr>
          <w:rFonts w:ascii="Calibri" w:hAnsi="Calibri" w:cs="Calibri" w:eastAsia="Calibri"/>
        </w:rPr>
        <w:t xml:space="preserve"> </w:t>
      </w:r>
      <w:hyperlink r:id="rId9">
        <w:r>
          <w:rPr>
            <w:rStyle w:val="VerbatimChar"/>
          </w:rPr>
          <w:t xml:space="preserve">README.md</w:t>
        </w:r>
      </w:hyperlink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· figures built by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code/13–16,19,26</w:t>
      </w:r>
      <w:r>
        <w:rPr>
          <w:rFonts w:ascii="Calibri" w:hAnsi="Calibri" w:cs="Calibri" w:eastAsia="Calibri"/>
        </w:rPr>
        <w:t xml:space="preserve">.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Lists all 21 PNG figures in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figures/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(each has a matching PDF), the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code/NN_*.R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script that makes each, and where it appears in the manuscript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</w:t>
      </w:r>
      <w:r>
        <w:rPr>
          <w:rFonts w:ascii="Calibri" w:hAnsi="Calibri" w:cs="Calibri" w:eastAsia="Calibri"/>
          <w:rStyle w:val="VerbatimChar"/>
        </w:rPr>
        <w:t xml:space="preserve">manuscript/Manuscript_LTH.docx</w:t>
      </w:r>
      <w:r>
        <w:rPr>
          <w:rFonts w:ascii="Calibri" w:hAnsi="Calibri" w:cs="Calibri" w:eastAsia="Calibri"/>
        </w:rPr>
        <w:t xml:space="preserve">).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Start w:id="10" w:name="X7af44e70c86ad6e89a06f90290247412f6d2994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Recommended reading order for a first-time reader</w:t>
      </w:r>
    </w:p>
    <w:p>
      <w:pPr>
        <w:pStyle w:val="FirstParagraph"/>
      </w:pPr>
      <w:r>
        <w:rPr>
          <w:rFonts w:ascii="Calibri" w:hAnsi="Calibri" w:cs="Calibri" w:eastAsia="Calibri"/>
        </w:rPr>
        <w:t xml:space="preserve">Five figures that tell the core story from start to finish: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cs="Calibri" w:eastAsia="Calibri"/>
          <w:rStyle w:val="VerbatimChar"/>
          <w:b/>
          <w:bCs/>
        </w:rPr>
        <w:t xml:space="preserve">08_apex_temperature.png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(a) treatment check: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tank temperatures held at 28 vs 31 °C (the heat ramp and steady state).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cs="Calibri" w:eastAsia="Calibri"/>
          <w:rStyle w:val="VerbatimChar"/>
          <w:b/>
          <w:bCs/>
        </w:rPr>
        <w:t xml:space="preserve">14_morphology_KM.png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(b) healing vs regeneration: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Kaplan–Meier curves showing that tissue still heals under heat but skeleton fails to regrow.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cs="Calibri" w:eastAsia="Calibri"/>
          <w:rStyle w:val="VerbatimChar"/>
          <w:b/>
          <w:bCs/>
        </w:rPr>
        <w:t xml:space="preserve">16_manuscript_fig1.png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(b+c summary: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the 4-panel publication figure — temperature, Fv/Fm, KM healing-vs-regeneration, PCA — the whole story in one figure.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cs="Calibri" w:eastAsia="Calibri"/>
          <w:rStyle w:val="VerbatimChar"/>
          <w:b/>
          <w:bCs/>
        </w:rPr>
        <w:t xml:space="preserve">19_genet_dashboard.png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(c) genet variation: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forest plot of standardized heat sensitivity across all responses, showing the tough genet (c) versus the sensitive ones (a, d).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cs="Calibri" w:eastAsia="Calibri"/>
          <w:rStyle w:val="VerbatimChar"/>
          <w:b/>
          <w:bCs/>
        </w:rPr>
        <w:t xml:space="preserve">26_thermal_context.png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—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(d) chronic-sublethal thermal context: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puts 28/31 °C next to Cunning et al. 2024 acute CBASS ED50s for the same species and island — 31 °C is chronic but sublethal.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0"/>
    <w:bookmarkStart w:id="11" w:name="manuscript-reference-check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Manuscript reference check</w:t>
      </w:r>
    </w:p>
    <w:p>
      <w:pPr>
        <w:pStyle w:val="FirstParagraph"/>
        <w:keepNext/>
      </w:pPr>
      <w:r>
        <w:rPr>
          <w:rFonts w:ascii="Calibri" w:hAnsi="Calibri" w:cs="Calibri" w:eastAsia="Calibri"/>
        </w:rPr>
        <w:t xml:space="preserve">How the manuscript's figure references map to files: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Manuscript ref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Refers to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Real file?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 1 (A–D)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Concept plate: colony photo, mesocosm, timeline, wound micrograph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bCs/>
              </w:rPr>
              <w:t xml:space="preserve">Not a code-generated stats figure.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</w:rPr>
              <w:t xml:space="preserve">Made by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plate_fig.R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</w:rPr>
              <w:t xml:space="preserve">(none of the 21 files is named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figures/*1*plate*.png</w:t>
            </w:r>
            <w:r>
              <w:rPr>
                <w:rFonts w:ascii="Calibri" w:hAnsi="Calibri" w:cs="Calibri" w:eastAsia="Calibri"/>
              </w:rPr>
              <w:t xml:space="preserve">). Note that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16_manuscript_fig1.png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</w:rPr>
              <w:t xml:space="preserve">is a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i/>
                <w:iCs/>
              </w:rPr>
              <w:t xml:space="preserve">different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</w:rPr>
              <w:t xml:space="preserve">4-panel figure, NOT the manuscript's "Fig 1."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2A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Apex temperature trace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maps to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08_apex_temperature.png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2B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PAM Fv/Fm trajectory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maps to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02_pam_fvfm_trajectory.png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2C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Color (Siebeck D-scale) trajectory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maps to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03_color_trajectory.png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2D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Growth (% skeletal mass change)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maps to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05_buoyant_weight_growth.png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2E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Symbiont density by biopsy day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maps to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06_symbiont_density_by_day.png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3A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PCA biplot of end physiology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maps to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15_physio_PCA_biplot.png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3B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Kaplan–Meier morphology (healing vs regeneration)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maps to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14_morphology_KM.png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3C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Genet resilience across responses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maps to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19_genet_dashboard.png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</w:rPr>
              <w:t xml:space="preserve">/</w:t>
            </w:r>
            <w:r>
              <w:rPr>
                <w:rFonts w:ascii="Calibri" w:hAnsi="Calibri" w:cs="Calibri" w:eastAsia="Calibri"/>
              </w:rPr>
              <w:t xml:space="preserve"> </w:t>
            </w:r>
            <w:r>
              <w:rPr>
                <w:rFonts w:ascii="Calibri" w:hAnsi="Calibri" w:cs="Calibri" w:eastAsia="Calibri"/>
                <w:rStyle w:val="VerbatimChar"/>
              </w:rPr>
              <w:t xml:space="preserve">19b_genet_resilience_ranking.png</w:t>
            </w:r>
          </w:p>
        </w:tc>
      </w:tr>
    </w:tbl>
    <w:p>
      <w:pPr>
        <w:pStyle w:val="BodyText"/>
        <w:spacing w:before="200"/>
      </w:pPr>
      <w:r>
        <w:rPr>
          <w:rFonts w:ascii="Calibri" w:hAnsi="Calibri" w:cs="Calibri" w:eastAsia="Calibri"/>
          <w:b/>
          <w:bCs/>
        </w:rPr>
        <w:t xml:space="preserve">Important: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In the manuscript, Fig. 2 and Fig. 3 are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i/>
          <w:iCs/>
        </w:rPr>
        <w:t xml:space="preserve">composite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figures. Each lettered panel comes from one of the scripts above, assembled at publication.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code/16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also builds a standalone 4-panel overview (</w:t>
      </w:r>
      <w:r>
        <w:rPr>
          <w:rFonts w:ascii="Calibri" w:hAnsi="Calibri" w:cs="Calibri" w:eastAsia="Calibri"/>
          <w:rStyle w:val="VerbatimChar"/>
        </w:rPr>
        <w:t xml:space="preserve">16_manuscript_fig1</w:t>
      </w:r>
      <w:r>
        <w:rPr>
          <w:rFonts w:ascii="Calibri" w:hAnsi="Calibri" w:cs="Calibri" w:eastAsia="Calibri"/>
        </w:rPr>
        <w:t xml:space="preserve">). With this panel-to-script mapping applied, every manuscript figure reference points to a real file.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Missing-reference flags: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none. Every Fig 1/2/3 reference matches a generated panel.</w:t>
      </w:r>
    </w:p>
    <w:p>
      <w:pPr>
        <w:pStyle w:val="BodyText"/>
      </w:pPr>
      <w:r>
        <w:rPr>
          <w:rFonts w:ascii="Calibri" w:hAnsi="Calibri" w:cs="Calibri" w:eastAsia="Calibri"/>
          <w:b/>
          <w:bCs/>
        </w:rPr>
        <w:t xml:space="preserve">Orphan figures (never cited as a numbered manuscript Fig):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04_morphology_trajectories.png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04b_morphology_trajectories_by_genet.png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07_wax_standard_curve.png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08b_apex_temperature_full.png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09_ysi_water_chem.png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10_worm_presence.png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13_genet_response_panel.png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14b_morphology_KM_by_genet.png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15b_physio_PCA_by_genet.png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16_manuscript_fig1.png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(standalone 4-panel build, not cited by number),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19b_genet_resilience_ranking.png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19c_decomposed_resilience.png</w:t>
      </w:r>
      <w:r>
        <w:rPr>
          <w:rFonts w:ascii="Calibri" w:hAnsi="Calibri" w:cs="Calibri" w:eastAsia="Calibri"/>
        </w:rPr>
        <w:t xml:space="preserve">,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  <w:rStyle w:val="VerbatimChar"/>
        </w:rPr>
        <w:t xml:space="preserve">26_thermal_context.png</w:t>
      </w:r>
      <w:r>
        <w:rPr>
          <w:rFonts w:ascii="Calibri" w:hAnsi="Calibri" w:cs="Calibri" w:eastAsia="Calibri"/>
        </w:rPr>
        <w:t xml:space="preserve">. These are supporting figures, diagnostics, by-genet</w:t>
      </w:r>
      <w:r>
        <w:rPr>
          <w:rFonts w:ascii="Calibri" w:hAnsi="Calibri" w:cs="Calibri" w:eastAsia="Calibri"/>
        </w:rPr>
        <w:t xml:space="preserve"> </w:t>
      </w:r>
      <w:r>
        <w:rPr>
          <w:rFonts w:ascii="Calibri" w:hAnsi="Calibri" w:cs="Calibri" w:eastAsia="Calibri"/>
        </w:rPr>
        <w:t xml:space="preserve">variants, and extra context — not numbered main-text figures.</w:t>
      </w:r>
    </w:p>
    <w:p>
      <w:r>
        <w:rPr>
          <w:rFonts w:ascii="Calibri" w:hAnsi="Calibri" w:cs="Calibri" w:eastAsia="Calibri"/>
        </w:rPr>
        <w:pict>
          <v:rect style="width:0;height:1.5pt" o:hralign="center" o:hrstd="t" o:hr="t"/>
        </w:pict>
      </w:r>
    </w:p>
    <w:bookmarkEnd w:id="11"/>
    <w:bookmarkStart w:id="12" w:name="full-catalog"/>
    <w:p>
      <w:pPr>
        <w:pStyle w:val="Heading2"/>
        <w:keepNext/>
        <w:spacing w:before="220" w:after="70"/>
      </w:pPr>
      <w:r>
        <w:rPr>
          <w:rFonts w:ascii="Calibri" w:hAnsi="Calibri" w:cs="Calibri" w:eastAsia="Calibri"/>
          <w:color w:val="2E5496"/>
          <w:b/>
        </w:rPr>
        <w:t xml:space="preserve">Full catalog</w:t>
      </w:r>
    </w:p>
    <w:tbl>
      <w:tblPr>
        <w:tblStyle w:val="Table"/>
        <w:tblW w:type="pct" w:w="5000"/>
        <w:tblBorders>
          <w:top w:val="single" w:sz="2" w:color="C7D2E2" w:space="0"/>
          <w:left w:val="single" w:sz="2" w:color="C7D2E2" w:space="0"/>
          <w:bottom w:val="single" w:sz="2" w:color="C7D2E2" w:space="0"/>
          <w:right w:val="single" w:sz="2" w:color="C7D2E2" w:space="0"/>
          <w:insideH w:val="single" w:sz="2" w:color="C7D2E2" w:space="0"/>
          <w:insideV w:val="single" w:sz="2" w:color="C7D2E2" w:space="0"/>
        </w:tblBorders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File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What it shows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Generating script</w:t>
            </w:r>
          </w:p>
        </w:tc>
        <w:tc>
          <w:tcPr>
            <w:shd w:val="clear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color w:val="FFFFFF"/>
                <w:b/>
              </w:rPr>
              <w:t xml:space="preserve">Manuscript fig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02_pam_fvfm_trajectory.png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PAM Fv/Fm trajectories by treatment × wound × day, 95% CI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code/02_pam_analysis.R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2B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03_color_trajectory.png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Color-card pigmentation (Siebeck D-scale) trajectory + paling tallies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code/03_color_card_analysis.R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2C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04_morphology_trajectories.png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8 binary wound-healing traits, cumulative proportion by day × treatment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code/04_physio_morphology.R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04b_morphology_trajectories_by_genet.png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Same morphology trajectories, split by genet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code/04_physio_morphology.R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05_buoyant_weight_growth.png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Growth (% skeletal mass change) from buoyant weight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code/05_buoyant_weight.R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2D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06_symbiont_density_by_day.png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Symbiont density (cells/cm²) by biopsy day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code/06_symbiont_chl.R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2E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07_wax_standard_curve.png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Wax-dipping surface-area calibration standard curve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code/07_wax_dipping.R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08_apex_temperature.png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Apex per-tank temperature: heat ramp + steady-state (treatment validation)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code/08_apex_temperature.R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2A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08b_apex_temperature_full.png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Full-datalog Apex temperature incl. ramps and cooldowns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code/08_apex_temperature.R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09_ysi_water_chem.png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Daily YSI spot checks: temp, DO%, DO mg/L, salinity, pH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code/09_ysi_water_chem.R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10_worm_presence.png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Acropora-eating flatworm presence tally per tank/treatment (contamination check)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code/10_worms.R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13_genet_response_panel.png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4-panel reaction norms: each genet's mean response shift under heating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code/13_genet_interaction.R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14_morphology_KM.png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Kaplan–Meier time-to-onset curves by treatment (healing vs regeneration traits)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code/14_morphology_kaplan.R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3B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14b_morphology_KM_by_genet.png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Kaplan–Meier curves by treatment × genet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code/14_morphology_kaplan.R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15_physio_PCA_biplot.png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PCA biplot of end-of-experiment physiology (thermal-stress axis)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code/15_multivariate.R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3A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15b_physio_PCA_by_genet.png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PCA biplot faceted by genet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code/15_multivariate.R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16_manuscript_fig1.png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Standalone 4-panel publication figure: temp / Fv/Fm / KM healing-vs-regen / PCA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code/16_main_figure.R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 (integrative build)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19_genet_dashboard.png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Forest plot of standardized heat sensitivity across all responses, per genet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code/19_genet_dashboard.R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3C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19b_genet_resilience_ranking.png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Composite thermal-resilience score ranking per genet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code/19_genet_dashboard.R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Fig. 3C (companion)</w:t>
            </w:r>
          </w:p>
        </w:tc>
      </w:tr>
      <w:tr>
        <w:trPr>
          <w:cantSplit/>
        </w:trPr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19c_decomposed_resilience.png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Heat sensitivity decomposed by wound state (wounded vs unwounded)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code/19_genet_dashboard.R</w:t>
            </w:r>
          </w:p>
        </w:tc>
        <w:tc>
          <w:tcPr>
            <w:shd w:val="clear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keepNext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26_thermal_context.png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LTH 28/31 °C vs Cunning et al. 2024 acute CBASS ED50s — chronic-sublethal context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  <w:rStyle w:val="VerbatimChar"/>
              </w:rPr>
              <w:t xml:space="preserve">code/sensitivity/26_thermal_context.R</w:t>
            </w:r>
          </w:p>
        </w:tc>
        <w:tc>
          <w:tcPr>
            <w:shd w:val="clear" w:fill="EEF2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>
            <w:pPr>
              <w:pStyle w:val="Compact"/>
              <w:spacing w:before="0" w:after="0"/>
            </w:pPr>
            <w:r>
              <w:rPr>
                <w:rFonts w:ascii="Calibri" w:hAnsi="Calibri" w:cs="Calibri" w:eastAsia="Calibri"/>
              </w:rPr>
              <w:t xml:space="preserve">—</w:t>
            </w:r>
          </w:p>
        </w:tc>
      </w:tr>
    </w:tbl>
    <w:bookmarkEnd w:id="12"/>
    <w:bookmarkEnd w:id="13"/>
    <w:sectPr>
      <w:footnotePr>
        <w:numRestart w:val="eachSect"/>
      </w:footnotePr>
      <w:pgSz w:w="12240" w:h="15840"/>
      <w:pgMar w:left="1080" w:right="108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Calibri" w:hAnsi="Calibri" w:cs="Calibri" w:eastAsia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../README.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.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2026-07-06T01:19:48Z</dcterms:created>
  <dcterms:modified xsi:type="dcterms:W3CDTF">2026-07-06T01:19:48Z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