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E67D" w14:textId="61E4A910" w:rsidR="00D943E8" w:rsidRDefault="00D943E8" w:rsidP="00D07EAF">
      <w:pPr>
        <w:jc w:val="center"/>
        <w:rPr>
          <w:b/>
          <w:bCs/>
          <w:i/>
          <w:iCs/>
        </w:rPr>
      </w:pPr>
      <w:r>
        <w:rPr>
          <w:b/>
          <w:bCs/>
          <w:i/>
          <w:iCs/>
        </w:rPr>
        <w:t>Overview of Survey Study</w:t>
      </w:r>
    </w:p>
    <w:p w14:paraId="52826014" w14:textId="712F7186" w:rsidR="00D943E8" w:rsidRPr="00D943E8" w:rsidRDefault="00D943E8" w:rsidP="00D943E8">
      <w:r w:rsidRPr="00D943E8">
        <w:t>To examine connections between CAFI community composition and the availability of nearby coral habitat, we performed surveys of the CAFI community o</w:t>
      </w:r>
      <w:r>
        <w:t>n</w:t>
      </w:r>
      <w:r w:rsidRPr="00D943E8">
        <w:t xml:space="preserve"> focal </w:t>
      </w:r>
      <w:r w:rsidRPr="00D943E8">
        <w:rPr>
          <w:i/>
          <w:iCs/>
        </w:rPr>
        <w:t xml:space="preserve">Pocillopora </w:t>
      </w:r>
      <w:r w:rsidRPr="00D943E8">
        <w:t xml:space="preserve">colonies and measured the number and size of adjacent colonies. We performed this work in June and July 2019 in three regions of the Moorea backreef: the mid-North shore (MRB), the northern end of the west shore (HAU), and the southern end of the east shore (MAT). </w:t>
      </w:r>
    </w:p>
    <w:p w14:paraId="6EACC8B0" w14:textId="0AAFB842" w:rsidR="00D943E8" w:rsidRPr="00D943E8" w:rsidRDefault="00D943E8" w:rsidP="00D943E8">
      <w:r>
        <w:t>W</w:t>
      </w:r>
      <w:r w:rsidRPr="00D943E8">
        <w:t xml:space="preserve">e grouped corals into two morphotypes: tight-branching (generally similar to </w:t>
      </w:r>
      <w:r w:rsidRPr="00D943E8">
        <w:rPr>
          <w:i/>
          <w:iCs/>
        </w:rPr>
        <w:t xml:space="preserve">P. veruocsa </w:t>
      </w:r>
      <w:r w:rsidRPr="00D943E8">
        <w:t xml:space="preserve">and </w:t>
      </w:r>
      <w:r w:rsidRPr="00D943E8">
        <w:rPr>
          <w:i/>
          <w:iCs/>
        </w:rPr>
        <w:t>P. meandrina</w:t>
      </w:r>
      <w:r w:rsidRPr="00D943E8">
        <w:t xml:space="preserve">) and wide-branching (generally similar to </w:t>
      </w:r>
      <w:r w:rsidRPr="00D943E8">
        <w:rPr>
          <w:i/>
          <w:iCs/>
        </w:rPr>
        <w:t>P. eydouxi</w:t>
      </w:r>
      <w:r w:rsidRPr="00D943E8">
        <w:t xml:space="preserve">). At each site, we surveyed 21 colonies which varied in their degree of isolation from other </w:t>
      </w:r>
      <w:r w:rsidRPr="00D943E8">
        <w:rPr>
          <w:i/>
          <w:iCs/>
        </w:rPr>
        <w:t>Pocillopora</w:t>
      </w:r>
      <w:r w:rsidRPr="00D943E8">
        <w:t xml:space="preserve"> colonies, divided evenly into 10-11 wide and tight-branching morphotypes. We preferentially selected corals that clearly fit one of the two morphotypes, were ~20-30cm in diameter, and were positioned in a location with relatively evenly distributed amount of nearby </w:t>
      </w:r>
      <w:r w:rsidRPr="00D943E8">
        <w:rPr>
          <w:i/>
          <w:iCs/>
        </w:rPr>
        <w:t>Pocillopora</w:t>
      </w:r>
      <w:r w:rsidRPr="00D943E8">
        <w:t xml:space="preserve"> habitat situated on homogenous terrain (i.e., not on top of a bommie). In general, surveyed corals were in 2-3m water depth and 30-150m from the reef crest.</w:t>
      </w:r>
    </w:p>
    <w:p w14:paraId="44D975E2" w14:textId="77777777" w:rsidR="000601FA" w:rsidRDefault="00D943E8" w:rsidP="00D943E8">
      <w:r w:rsidRPr="00D943E8">
        <w:t>After selecti</w:t>
      </w:r>
      <w:r w:rsidR="000601FA">
        <w:t xml:space="preserve">ng </w:t>
      </w:r>
      <w:r w:rsidRPr="00D943E8">
        <w:t xml:space="preserve">a focal colony, we returned on SCUBA to measure the colony and surrounding </w:t>
      </w:r>
      <w:r w:rsidRPr="00D943E8">
        <w:rPr>
          <w:i/>
          <w:iCs/>
        </w:rPr>
        <w:t xml:space="preserve">Pocillopora </w:t>
      </w:r>
      <w:r w:rsidRPr="00D943E8">
        <w:t>habitat, and to collect the colony for CAFI community measurements. Using a flexible tape, we measured colony length (</w:t>
      </w:r>
      <w:r w:rsidRPr="00D943E8">
        <w:rPr>
          <w:i/>
          <w:iCs/>
        </w:rPr>
        <w:t>L</w:t>
      </w:r>
      <w:r w:rsidRPr="00D943E8">
        <w:t>, longest horizontal axis), width (</w:t>
      </w:r>
      <w:r w:rsidRPr="00D943E8">
        <w:rPr>
          <w:i/>
          <w:iCs/>
        </w:rPr>
        <w:t>W</w:t>
      </w:r>
      <w:r w:rsidRPr="00D943E8">
        <w:t>, longest perpendicular measurement to length), height (</w:t>
      </w:r>
      <w:r w:rsidRPr="00D943E8">
        <w:rPr>
          <w:i/>
          <w:iCs/>
        </w:rPr>
        <w:t>H</w:t>
      </w:r>
      <w:r w:rsidRPr="00D943E8">
        <w:t xml:space="preserve">, perpendicular to </w:t>
      </w:r>
      <w:r w:rsidRPr="00D943E8">
        <w:rPr>
          <w:i/>
          <w:iCs/>
        </w:rPr>
        <w:t>L</w:t>
      </w:r>
      <w:r w:rsidRPr="00D943E8">
        <w:t xml:space="preserve"> and </w:t>
      </w:r>
      <w:r w:rsidRPr="00D943E8">
        <w:rPr>
          <w:i/>
          <w:iCs/>
        </w:rPr>
        <w:t>W</w:t>
      </w:r>
      <w:r w:rsidRPr="00D943E8">
        <w:t>), and colony circumference. We calculated manual coral volume as a hemi-ellipsoid</w:t>
      </w:r>
      <w:r w:rsidR="000601FA">
        <w:t xml:space="preserve">, </w:t>
      </w:r>
      <w:r w:rsidRPr="00D943E8">
        <w:t xml:space="preserve">a measurement previously used to relate </w:t>
      </w:r>
      <w:r w:rsidRPr="00D943E8">
        <w:rPr>
          <w:i/>
          <w:iCs/>
        </w:rPr>
        <w:t>Pocillopora</w:t>
      </w:r>
      <w:r w:rsidRPr="00D943E8">
        <w:t xml:space="preserve"> spp. volume to CAFI biodiversity. For colonies located above the seafloor we measured the vertical distance from the base of the colony to the nearest reef pavement. </w:t>
      </w:r>
    </w:p>
    <w:p w14:paraId="7371DB1E" w14:textId="13DDF3AA" w:rsidR="00D943E8" w:rsidRPr="00D943E8" w:rsidRDefault="00D943E8" w:rsidP="00D943E8">
      <w:r w:rsidRPr="00D943E8">
        <w:t xml:space="preserve">After completing measurements, we enclosed colonies in a polypropylene sack to retain CAFI and removed the coral at the base using a mallet and chisel. From the center of the removed colony, we counted and measured any </w:t>
      </w:r>
      <w:r w:rsidRPr="00D943E8">
        <w:rPr>
          <w:i/>
          <w:iCs/>
        </w:rPr>
        <w:t>Pocillopora</w:t>
      </w:r>
      <w:r w:rsidRPr="00D943E8">
        <w:t xml:space="preserve"> colonies within a 2m radius, using the same metrics as the focal colony (length, width, height, circumference, height above substrate, and hemi-ellipsoid volume). We also measured the horizontal distance of the base of each nearby colony from the focal coral base, as well as their orientation relative to the reef crest. Finally, we returned sampled corals enclosed in collection sacks to the boat, where we immersed them in individual buckets of seawater for transportation back to Gump research station for CAFI removal.</w:t>
      </w:r>
    </w:p>
    <w:p w14:paraId="71EFFB37" w14:textId="7C1AF151" w:rsidR="00D943E8" w:rsidRPr="00D943E8" w:rsidRDefault="00D943E8" w:rsidP="00D943E8">
      <w:r w:rsidRPr="00D943E8">
        <w:rPr>
          <w:b/>
          <w:bCs/>
          <w:i/>
          <w:iCs/>
        </w:rPr>
        <w:t xml:space="preserve">Neighborhood Survey – CAFI </w:t>
      </w:r>
      <w:r w:rsidR="0018355D">
        <w:rPr>
          <w:b/>
          <w:bCs/>
          <w:i/>
          <w:iCs/>
        </w:rPr>
        <w:t>Data Collection</w:t>
      </w:r>
    </w:p>
    <w:p w14:paraId="643FF5C7" w14:textId="034E2B37" w:rsidR="000601FA" w:rsidRDefault="00D943E8" w:rsidP="00D943E8">
      <w:r w:rsidRPr="00D943E8">
        <w:t>On arrival at the station, we removed corals from their collection sack, re-measured colonies and removed ~5cm sections from the end of two branches (“nubbins”), which we immediately froze at -20</w:t>
      </w:r>
      <w:r w:rsidRPr="00D943E8">
        <w:rPr>
          <w:vertAlign w:val="superscript"/>
        </w:rPr>
        <w:t>o</w:t>
      </w:r>
      <w:r w:rsidRPr="00D943E8">
        <w:t xml:space="preserve">C for measurements of coral tissue properties. Using </w:t>
      </w:r>
      <w:r w:rsidR="0018355D">
        <w:t xml:space="preserve">sterilized </w:t>
      </w:r>
      <w:r w:rsidRPr="00D943E8">
        <w:t xml:space="preserve">cutters we also collected 2 verucae for genetic identification, which we stored in 1mL of RNA later at room temperature. After tissue sampling, we immersed corals in an anesthetic solution (100mg eugenol/L seawater) for 5 minutes. Following the soaking period, we flushed the colonies by rapidly dunking them 5-10 times in the eugenol solution, then set them aside for manual removal of any remaining CAFI using forceps. Finally, we poured the eugenol solution through a 1mm mesh and isolated any visible CAFI. </w:t>
      </w:r>
    </w:p>
    <w:p w14:paraId="7FD174C8" w14:textId="764F1E75" w:rsidR="00D943E8" w:rsidRPr="00D943E8" w:rsidRDefault="00D943E8" w:rsidP="00D943E8">
      <w:r w:rsidRPr="00D943E8">
        <w:t xml:space="preserve">After removal, we counted and identified all CAFI to the lowest possible taxonomic level. When possible, we performed identifications on the same day as coral surveys and sampling. If </w:t>
      </w:r>
      <w:r w:rsidRPr="00D943E8">
        <w:lastRenderedPageBreak/>
        <w:t>necessary, we preserved CAFI in 90% Ethanol for later identification, most often within 72 hours.</w:t>
      </w:r>
      <w:r w:rsidR="00D07EAF">
        <w:t xml:space="preserve"> </w:t>
      </w:r>
      <w:r w:rsidRPr="00D943E8">
        <w:t>For highly abundant and well catalogued CAFI, we made on-site identifications. For rare, very small, or cryptic CAFI, we photographed individuals under a dissecting microscope for future identification. We mostly verified identifications based on reference material from Moorea Biocode and UC Berkeley Cal Photos collection (CITE). We maintained and updated any changes in taxonomic nomenclature through January 2025 based on the most recent accepted entry in the World Registry of Marine Species (CITE). </w:t>
      </w:r>
    </w:p>
    <w:p w14:paraId="217A28C6" w14:textId="77777777" w:rsidR="00D943E8" w:rsidRPr="00D943E8" w:rsidRDefault="00D943E8" w:rsidP="00D943E8">
      <w:r w:rsidRPr="00D943E8">
        <w:t>We measured all CAFI that we could identify on-site using calipers. For unknown CAFI that required microscope photography, we made measurements using a scale-bar and post-processing in ImageJ. We made the following measurements on a taxon-by-taxon basis: crabs (carapace width), worms (total length), snails (shell length), fish (total length), echinoderms (disc width), and shrimps, hermit crabs, and squat lobsters (carapace length). For fish, we converted size to biomass using relationships published on Fishbase (CITE). For invertebrates, we calculated length-weight relationships based on the mass of a subset of individuals that we weighed after desiccation in a drying oven (60</w:t>
      </w:r>
      <w:r w:rsidRPr="00D943E8">
        <w:rPr>
          <w:vertAlign w:val="superscript"/>
        </w:rPr>
        <w:t>o</w:t>
      </w:r>
      <w:r w:rsidRPr="00D943E8">
        <w:t>C for 24 hours).</w:t>
      </w:r>
    </w:p>
    <w:p w14:paraId="667B012E" w14:textId="1E260B62" w:rsidR="00D943E8" w:rsidRPr="00D943E8" w:rsidRDefault="00D943E8" w:rsidP="00D943E8">
      <w:r w:rsidRPr="00D943E8">
        <w:rPr>
          <w:b/>
          <w:bCs/>
          <w:i/>
          <w:iCs/>
        </w:rPr>
        <w:t>Size Survey</w:t>
      </w:r>
    </w:p>
    <w:p w14:paraId="5F83F688" w14:textId="3491AEA8" w:rsidR="003F091B" w:rsidRDefault="00D943E8" w:rsidP="00D943E8">
      <w:r w:rsidRPr="00D943E8">
        <w:t xml:space="preserve">To measure the relationship between CAFI community characteristics and coral size, we collected CAFI from </w:t>
      </w:r>
      <w:r w:rsidRPr="00D943E8">
        <w:rPr>
          <w:i/>
          <w:iCs/>
        </w:rPr>
        <w:t>Pocillopora</w:t>
      </w:r>
      <w:r w:rsidRPr="00D943E8">
        <w:t xml:space="preserve"> colonies of different sizes (~5 – 50cm diameter) in July and August 2019. For this effort, we collected 12-16 corals from each of the same three sections of backreef as the previous survey, again divided evenly into wide- and tight-branching morphotypes. To minimize variation in CAFI composition related to the amount of nearby coral colonies, we selected focal corals from areas with consistent, moderate amounts of nearby </w:t>
      </w:r>
      <w:r w:rsidRPr="00D943E8">
        <w:rPr>
          <w:i/>
          <w:iCs/>
        </w:rPr>
        <w:t>Pocillopora</w:t>
      </w:r>
      <w:r w:rsidRPr="00D943E8">
        <w:t xml:space="preserve"> habitat (which we did not explicitly survey). We performed identical CAFI collection, measurement, and identification methods to the previous survey. </w:t>
      </w:r>
    </w:p>
    <w:sectPr w:rsidR="003F09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60969" w14:textId="77777777" w:rsidR="007420CC" w:rsidRDefault="007420CC" w:rsidP="00D07EAF">
      <w:pPr>
        <w:spacing w:after="0" w:line="240" w:lineRule="auto"/>
      </w:pPr>
      <w:r>
        <w:separator/>
      </w:r>
    </w:p>
  </w:endnote>
  <w:endnote w:type="continuationSeparator" w:id="0">
    <w:p w14:paraId="25DBD6BD" w14:textId="77777777" w:rsidR="007420CC" w:rsidRDefault="007420CC" w:rsidP="00D07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3EA4" w14:textId="77777777" w:rsidR="007420CC" w:rsidRDefault="007420CC" w:rsidP="00D07EAF">
      <w:pPr>
        <w:spacing w:after="0" w:line="240" w:lineRule="auto"/>
      </w:pPr>
      <w:r>
        <w:separator/>
      </w:r>
    </w:p>
  </w:footnote>
  <w:footnote w:type="continuationSeparator" w:id="0">
    <w:p w14:paraId="34D87FEB" w14:textId="77777777" w:rsidR="007420CC" w:rsidRDefault="007420CC" w:rsidP="00D07E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E9"/>
    <w:rsid w:val="000601FA"/>
    <w:rsid w:val="000D3A1E"/>
    <w:rsid w:val="0018355D"/>
    <w:rsid w:val="003E162B"/>
    <w:rsid w:val="003F091B"/>
    <w:rsid w:val="00596DAC"/>
    <w:rsid w:val="007420CC"/>
    <w:rsid w:val="00945DE9"/>
    <w:rsid w:val="00D07EAF"/>
    <w:rsid w:val="00D9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481D"/>
  <w15:chartTrackingRefBased/>
  <w15:docId w15:val="{3F0B1EC3-7F15-436F-9130-9D05281C8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DE9"/>
    <w:rPr>
      <w:rFonts w:eastAsiaTheme="majorEastAsia" w:cstheme="majorBidi"/>
      <w:color w:val="272727" w:themeColor="text1" w:themeTint="D8"/>
    </w:rPr>
  </w:style>
  <w:style w:type="paragraph" w:styleId="Title">
    <w:name w:val="Title"/>
    <w:basedOn w:val="Normal"/>
    <w:next w:val="Normal"/>
    <w:link w:val="TitleChar"/>
    <w:uiPriority w:val="10"/>
    <w:qFormat/>
    <w:rsid w:val="00945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DE9"/>
    <w:pPr>
      <w:spacing w:before="160"/>
      <w:jc w:val="center"/>
    </w:pPr>
    <w:rPr>
      <w:i/>
      <w:iCs/>
      <w:color w:val="404040" w:themeColor="text1" w:themeTint="BF"/>
    </w:rPr>
  </w:style>
  <w:style w:type="character" w:customStyle="1" w:styleId="QuoteChar">
    <w:name w:val="Quote Char"/>
    <w:basedOn w:val="DefaultParagraphFont"/>
    <w:link w:val="Quote"/>
    <w:uiPriority w:val="29"/>
    <w:rsid w:val="00945DE9"/>
    <w:rPr>
      <w:i/>
      <w:iCs/>
      <w:color w:val="404040" w:themeColor="text1" w:themeTint="BF"/>
    </w:rPr>
  </w:style>
  <w:style w:type="paragraph" w:styleId="ListParagraph">
    <w:name w:val="List Paragraph"/>
    <w:basedOn w:val="Normal"/>
    <w:uiPriority w:val="34"/>
    <w:qFormat/>
    <w:rsid w:val="00945DE9"/>
    <w:pPr>
      <w:ind w:left="720"/>
      <w:contextualSpacing/>
    </w:pPr>
  </w:style>
  <w:style w:type="character" w:styleId="IntenseEmphasis">
    <w:name w:val="Intense Emphasis"/>
    <w:basedOn w:val="DefaultParagraphFont"/>
    <w:uiPriority w:val="21"/>
    <w:qFormat/>
    <w:rsid w:val="00945DE9"/>
    <w:rPr>
      <w:i/>
      <w:iCs/>
      <w:color w:val="0F4761" w:themeColor="accent1" w:themeShade="BF"/>
    </w:rPr>
  </w:style>
  <w:style w:type="paragraph" w:styleId="IntenseQuote">
    <w:name w:val="Intense Quote"/>
    <w:basedOn w:val="Normal"/>
    <w:next w:val="Normal"/>
    <w:link w:val="IntenseQuoteChar"/>
    <w:uiPriority w:val="30"/>
    <w:qFormat/>
    <w:rsid w:val="00945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DE9"/>
    <w:rPr>
      <w:i/>
      <w:iCs/>
      <w:color w:val="0F4761" w:themeColor="accent1" w:themeShade="BF"/>
    </w:rPr>
  </w:style>
  <w:style w:type="character" w:styleId="IntenseReference">
    <w:name w:val="Intense Reference"/>
    <w:basedOn w:val="DefaultParagraphFont"/>
    <w:uiPriority w:val="32"/>
    <w:qFormat/>
    <w:rsid w:val="00945DE9"/>
    <w:rPr>
      <w:b/>
      <w:bCs/>
      <w:smallCaps/>
      <w:color w:val="0F4761" w:themeColor="accent1" w:themeShade="BF"/>
      <w:spacing w:val="5"/>
    </w:rPr>
  </w:style>
  <w:style w:type="paragraph" w:styleId="Header">
    <w:name w:val="header"/>
    <w:basedOn w:val="Normal"/>
    <w:link w:val="HeaderChar"/>
    <w:uiPriority w:val="99"/>
    <w:unhideWhenUsed/>
    <w:rsid w:val="00D07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7EAF"/>
  </w:style>
  <w:style w:type="paragraph" w:styleId="Footer">
    <w:name w:val="footer"/>
    <w:basedOn w:val="Normal"/>
    <w:link w:val="FooterChar"/>
    <w:uiPriority w:val="99"/>
    <w:unhideWhenUsed/>
    <w:rsid w:val="00D07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7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90026">
      <w:bodyDiv w:val="1"/>
      <w:marLeft w:val="0"/>
      <w:marRight w:val="0"/>
      <w:marTop w:val="0"/>
      <w:marBottom w:val="0"/>
      <w:divBdr>
        <w:top w:val="none" w:sz="0" w:space="0" w:color="auto"/>
        <w:left w:val="none" w:sz="0" w:space="0" w:color="auto"/>
        <w:bottom w:val="none" w:sz="0" w:space="0" w:color="auto"/>
        <w:right w:val="none" w:sz="0" w:space="0" w:color="auto"/>
      </w:divBdr>
    </w:div>
    <w:div w:id="126256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Mcalpin Cryan</dc:creator>
  <cp:keywords/>
  <dc:description/>
  <cp:lastModifiedBy>Daniel Mcalpin Cryan</cp:lastModifiedBy>
  <cp:revision>3</cp:revision>
  <dcterms:created xsi:type="dcterms:W3CDTF">2025-02-03T15:51:00Z</dcterms:created>
  <dcterms:modified xsi:type="dcterms:W3CDTF">2025-02-03T19:05:00Z</dcterms:modified>
</cp:coreProperties>
</file>