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10" w:name="X833a375cd9ba65dbf46f3ef06ef724ad27fb6a5"/>
    <w:p>
      <w:pPr>
        <w:pStyle w:val="Heading1"/>
      </w:pPr>
      <w:r>
        <w:t xml:space="preserve">Colony size drives sublinear scaling, compositional turnover, and biodiversity–condition feedbacks in coral-associated fauna</w:t>
      </w:r>
    </w:p>
    <w:p>
      <w:pPr>
        <w:pStyle w:val="FirstParagraph"/>
      </w:pPr>
      <w:r>
        <w:t xml:space="preserve">Adrian C. Stier</w:t>
      </w:r>
      <w:r>
        <w:rPr>
          <w:vertAlign w:val="superscript"/>
        </w:rPr>
        <w:t xml:space="preserve">1,2</w:t>
      </w:r>
      <w:r>
        <w:t xml:space="preserve">*, Alexander Primo</w:t>
      </w:r>
      <w:r>
        <w:rPr>
          <w:vertAlign w:val="superscript"/>
        </w:rPr>
        <w:t xml:space="preserve">3</w:t>
      </w:r>
      <w:r>
        <w:t xml:space="preserve">, Joseph S. Curtis</w:t>
      </w:r>
      <w:r>
        <w:rPr>
          <w:vertAlign w:val="superscript"/>
        </w:rPr>
        <w:t xml:space="preserve">1,4</w:t>
      </w:r>
      <w:r>
        <w:t xml:space="preserve">, Craig W. Osenberg</w:t>
      </w:r>
      <w:r>
        <w:rPr>
          <w:vertAlign w:val="superscript"/>
        </w:rPr>
        <w:t xml:space="preserve">3</w:t>
      </w:r>
    </w:p>
    <w:p>
      <w:pPr>
        <w:pStyle w:val="BodyText"/>
      </w:pPr>
      <w:r>
        <w:rPr>
          <w:vertAlign w:val="superscript"/>
        </w:rPr>
        <w:t xml:space="preserve">1</w:t>
      </w:r>
      <w:r>
        <w:t xml:space="preserve">Department of Ecology, Evolution, and Marine Biology, University of California Santa Barbara, Santa Barbara, CA 93106, USA</w:t>
      </w:r>
    </w:p>
    <w:p>
      <w:pPr>
        <w:pStyle w:val="BodyText"/>
      </w:pPr>
      <w:r>
        <w:rPr>
          <w:vertAlign w:val="superscript"/>
        </w:rPr>
        <w:t xml:space="preserve">2</w:t>
      </w:r>
      <w:r>
        <w:t xml:space="preserve">Marine Science Institute, University of California Santa Barbara, Santa Barbara, CA 93106, USA</w:t>
      </w:r>
    </w:p>
    <w:p>
      <w:pPr>
        <w:pStyle w:val="BodyText"/>
      </w:pPr>
      <w:r>
        <w:rPr>
          <w:vertAlign w:val="superscript"/>
        </w:rPr>
        <w:t xml:space="preserve">3</w:t>
      </w:r>
      <w:r>
        <w:t xml:space="preserve">Odum School of Ecology, University of Georgia, 140 E Green St, Athens, GA 30602, USA</w:t>
      </w:r>
    </w:p>
    <w:p>
      <w:pPr>
        <w:pStyle w:val="BodyText"/>
      </w:pPr>
      <w:r>
        <w:rPr>
          <w:vertAlign w:val="superscript"/>
        </w:rPr>
        <w:t xml:space="preserve">4</w:t>
      </w:r>
      <w:r>
        <w:t xml:space="preserve">Department of Marine Science, University of Otago, PO Box 56, Dunedin, Otago 9054, New Zealand</w:t>
      </w:r>
    </w:p>
    <w:p>
      <w:pPr>
        <w:pStyle w:val="BodyText"/>
      </w:pPr>
      <w:r>
        <w:t xml:space="preserve">*Corresponding author: Adrian C. Stier (astier@ucsb.edu)</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and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(Stier et al.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(Stier et al.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the companion manipulation experiment</w:t>
      </w:r>
      <w:r>
        <w:t xml:space="preserve"> </w:t>
      </w:r>
      <w:r>
        <w:t xml:space="preserve">(</w:t>
      </w:r>
      <w:hyperlink w:anchor="ref-StierInReview">
        <w:r>
          <w:rPr>
            <w:rStyle w:val="Hyperlink"/>
          </w:rPr>
          <w:t xml:space="preserve">Stier et al., in review</w:t>
        </w:r>
      </w:hyperlink>
      <w:r>
        <w:t xml:space="preserve">)</w:t>
      </w:r>
      <w:r>
        <w:t xml:space="preserve"> </w:t>
      </w:r>
      <w:r>
        <w:t xml:space="preserve">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w:t>
      </w:r>
      <w:r>
        <w:t xml:space="preserve"> </w:t>
      </w:r>
      <w:r>
        <w:t xml:space="preserve">(</w:t>
      </w:r>
      <w:hyperlink w:anchor="ref-StierInReview">
        <w:r>
          <w:rPr>
            <w:rStyle w:val="Hyperlink"/>
          </w:rPr>
          <w:t xml:space="preserve">Stier et al., in review</w:t>
        </w:r>
      </w:hyperlink>
      <w:r>
        <w:t xml:space="preserve">)</w:t>
      </w:r>
      <w:r>
        <w:t xml:space="preserve">,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The remaining variance points to stochastic colonization of discrete habitat patches</w:t>
      </w:r>
      <w:r>
        <w:t xml:space="preserve"> </w:t>
      </w:r>
      <w:r>
        <w:t xml:space="preserve">(</w:t>
      </w:r>
      <w:hyperlink w:anchor="ref-Laurance2002">
        <w:r>
          <w:rPr>
            <w:rStyle w:val="Hyperlink"/>
          </w:rPr>
          <w:t xml:space="preserve">Laurance et al., 2002</w:t>
        </w:r>
      </w:hyperlink>
      <w:r>
        <w:t xml:space="preserve">)</w:t>
      </w:r>
      <w:r>
        <w:t xml:space="preserve">. Volume-weighted null models detected no significant pairwise associations after FDR correction (Fig. S9), while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likely captures variation in branching architecture and interstitial space that determines which CAFI can colonize – making morphotype either a mediator (part of the pathway through which habitat structure generates diversity) or a common cause that independently shapes both richness and condition. The observational design cannot distinguish these roles, but the haplotype result rules out genetic species identity as the driver. If morphotype is a mediator, conditioning on it masks the very pathway through which habitat structure generates diversity, and the absorption of the richness signal is expected rather than damning.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We thank the many people who contributed to establishing and maintaining the field surveys, as well as M. Brzezinski and D. Cryan for assistance with data management and laboratory work and C. Wall, C. Bove, and J. Baumann for guidance on coral physiological protocols. We are grateful to the staff of the University of California Gump Research Station for their logistical and technical support, and to the Moorea Coral Reef LTER, UCSB Ocean Recoveries Lab, and UGA Osenberg Lab for their insights. Research was conducted under permits issued by the Territorial Government of French Polynesia (Délégation à la Recherche) and the Haut-commissariat de la République en Polynésie Française (DTRT) (Protocole d’Accueil), whose continued support we greatly appreciate. This work was supported by the National Science Foundation (OCE-1851510 and OCE-1851032).</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ACS and CWO conceived the project. AP and JSC conducted the majority of the fieldwork, laboratory, and image analyses. ACS performed the analyses and drafted the figures with input from CWO. ACS wrote the first draft, and ACS and CWO contributed substantially to revisions.</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The authors declare no conflicts of interest.</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8" w:name="references"/>
    <w:p>
      <w:pPr>
        <w:pStyle w:val="Heading2"/>
      </w:pPr>
      <w:r>
        <w:t xml:space="preserve">References</w:t>
      </w:r>
    </w:p>
    <w:bookmarkStart w:id="107"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urance2002"/>
    <w:p>
      <w:pPr>
        <w:pStyle w:val="Bibliography"/>
      </w:pPr>
      <w:r>
        <w:t xml:space="preserve">Laurance, W. F., Lovejoy, T. E., Vasconcelos, H. L., Bruna, E. M., Didham, R. K., Stouffer, P. C., Gascon, C., Bierregaard, R. O., Laurance, S. G., &amp; Wilson, E. (2002). Ecosystem decay of</w:t>
      </w:r>
      <w:r>
        <w:t xml:space="preserve"> </w:t>
      </w:r>
      <w:r>
        <w:t xml:space="preserve">Amazonian</w:t>
      </w:r>
      <w:r>
        <w:t xml:space="preserve"> </w:t>
      </w:r>
      <w:r>
        <w:t xml:space="preserve">forest fragments: A 22-year investigation.</w:t>
      </w:r>
      <w:r>
        <w:t xml:space="preserve"> </w:t>
      </w:r>
      <w:r>
        <w:rPr>
          <w:i/>
          <w:iCs/>
        </w:rPr>
        <w:t xml:space="preserve">Conservation Biology</w:t>
      </w:r>
      <w:r>
        <w:t xml:space="preserve">,</w:t>
      </w:r>
      <w:r>
        <w:t xml:space="preserve"> </w:t>
      </w:r>
      <w:r>
        <w:rPr>
          <w:i/>
          <w:iCs/>
        </w:rPr>
        <w:t xml:space="preserve">16</w:t>
      </w:r>
      <w:r>
        <w:t xml:space="preserve">, 605–618.</w:t>
      </w:r>
      <w:r>
        <w:t xml:space="preserve"> </w:t>
      </w:r>
      <w:hyperlink r:id="rId85">
        <w:r>
          <w:rPr>
            <w:rStyle w:val="Hyperlink"/>
          </w:rPr>
          <w:t xml:space="preserve">https://doi.org/10.1046/j.1523-1739.2002.01025.x</w:t>
        </w:r>
      </w:hyperlink>
    </w:p>
    <w:bookmarkEnd w:id="86"/>
    <w:bookmarkStart w:id="88"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7">
        <w:r>
          <w:rPr>
            <w:rStyle w:val="Hyperlink"/>
          </w:rPr>
          <w:t xml:space="preserve">https://doi.org/10.1146/annurev.en.28.010183.000323</w:t>
        </w:r>
      </w:hyperlink>
    </w:p>
    <w:bookmarkEnd w:id="88"/>
    <w:bookmarkStart w:id="89"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9"/>
    <w:bookmarkStart w:id="91"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0">
        <w:r>
          <w:rPr>
            <w:rStyle w:val="Hyperlink"/>
          </w:rPr>
          <w:t xml:space="preserve">https://doi.org/10.1007/s00442-012-2275-2</w:t>
        </w:r>
      </w:hyperlink>
    </w:p>
    <w:bookmarkEnd w:id="91"/>
    <w:bookmarkStart w:id="93"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2">
        <w:r>
          <w:rPr>
            <w:rStyle w:val="Hyperlink"/>
          </w:rPr>
          <w:t xml:space="preserve">https://doi.org/10.1111/j.1365-2656.2005.00913.x</w:t>
        </w:r>
      </w:hyperlink>
    </w:p>
    <w:bookmarkEnd w:id="93"/>
    <w:bookmarkStart w:id="95"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4">
        <w:r>
          <w:rPr>
            <w:rStyle w:val="Hyperlink"/>
          </w:rPr>
          <w:t xml:space="preserve">https://doi.org/10.1371/journal.pone.0135928</w:t>
        </w:r>
      </w:hyperlink>
    </w:p>
    <w:bookmarkEnd w:id="95"/>
    <w:bookmarkStart w:id="97"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6">
        <w:r>
          <w:rPr>
            <w:rStyle w:val="Hyperlink"/>
          </w:rPr>
          <w:t xml:space="preserve">https://doi.org/10.1098/rsbl.2010.0291</w:t>
        </w:r>
      </w:hyperlink>
    </w:p>
    <w:bookmarkEnd w:id="97"/>
    <w:bookmarkStart w:id="99"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8">
        <w:r>
          <w:rPr>
            <w:rStyle w:val="Hyperlink"/>
          </w:rPr>
          <w:t xml:space="preserve">https://doi.org/10.1111/gcb.16000</w:t>
        </w:r>
      </w:hyperlink>
    </w:p>
    <w:bookmarkEnd w:id="99"/>
    <w:bookmarkStart w:id="101"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0">
        <w:r>
          <w:rPr>
            <w:rStyle w:val="Hyperlink"/>
          </w:rPr>
          <w:t xml:space="preserve">https://doi.org/10.1007/s00442-013-2858-6</w:t>
        </w:r>
      </w:hyperlink>
    </w:p>
    <w:bookmarkEnd w:id="101"/>
    <w:bookmarkStart w:id="103"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2">
        <w:r>
          <w:rPr>
            <w:rStyle w:val="Hyperlink"/>
          </w:rPr>
          <w:t xml:space="preserve">https://doi.org/10.1371/journal.pone.0032079</w:t>
        </w:r>
      </w:hyperlink>
    </w:p>
    <w:bookmarkEnd w:id="103"/>
    <w:bookmarkStart w:id="105"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4">
        <w:r>
          <w:rPr>
            <w:rStyle w:val="Hyperlink"/>
          </w:rPr>
          <w:t xml:space="preserve">https://doi.org/10.1890/09-1993.1</w:t>
        </w:r>
      </w:hyperlink>
    </w:p>
    <w:bookmarkEnd w:id="105"/>
    <w:bookmarkStart w:id="106" w:name="ref-StierInReview"/>
    <w:p>
      <w:pPr>
        <w:pStyle w:val="Bibliography"/>
      </w:pPr>
      <w:r>
        <w:t xml:space="preserve">Stier, A. C., Primo, C., Curtis, J. S., &amp; Osenberg, C. W. (in review). Habitat quantity drives community assembly and biodiversity-ecosystem function relationships in coral reef fauna.</w:t>
      </w:r>
      <w:r>
        <w:t xml:space="preserve"> </w:t>
      </w:r>
      <w:r>
        <w:rPr>
          <w:i/>
          <w:iCs/>
        </w:rPr>
        <w:t xml:space="preserve">[journal to be confirmed]</w:t>
      </w:r>
      <w:r>
        <w:t xml:space="preserve">.</w:t>
      </w:r>
    </w:p>
    <w:bookmarkEnd w:id="106"/>
    <w:bookmarkEnd w:id="107"/>
    <w:p>
      <w:r>
        <w:pict>
          <v:rect style="width:0;height:1.5pt" o:hralign="center" o:hrstd="t" o:hr="t"/>
        </w:pict>
      </w:r>
    </w:p>
    <w:bookmarkEnd w:id="108"/>
    <w:bookmarkStart w:id="109"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2026-03-23T21:53:42Z</dcterms:created>
  <dcterms:modified xsi:type="dcterms:W3CDTF">2026-03-23T21:53:42Z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