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09" w:name="X833a375cd9ba65dbf46f3ef06ef724ad27fb6a5"/>
    <w:p>
      <w:pPr>
        <w:pStyle w:val="Heading1"/>
      </w:pPr>
      <w:r>
        <w:t xml:space="preserve">Colony size drives sublinear scaling, compositional turnover, and biodiversity–condition feedbacks in coral-associated fauna</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and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([Anonymous,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([Anonymous,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a companion manipulation experiment ([Anonymous, in review]) 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 ([Anonymous, in review]),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The remaining variance points to stochastic colonization of discrete habitat patches</w:t>
      </w:r>
      <w:r>
        <w:t xml:space="preserve"> </w:t>
      </w:r>
      <w:r>
        <w:t xml:space="preserve">(</w:t>
      </w:r>
      <w:hyperlink w:anchor="ref-Laurance2002">
        <w:r>
          <w:rPr>
            <w:rStyle w:val="Hyperlink"/>
          </w:rPr>
          <w:t xml:space="preserve">Laurance et al., 2002</w:t>
        </w:r>
      </w:hyperlink>
      <w:r>
        <w:t xml:space="preserve">)</w:t>
      </w:r>
      <w:r>
        <w:t xml:space="preserve">. Volume-weighted null models detected no significant pairwise associations after FDR correction (Fig. S9), while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likely captures variation in branching architecture and interstitial space that determines which CAFI can colonize – making morphotype either a mediator (part of the pathway through which habitat structure generates diversity) or a common cause that independently shapes both richness and condition. The observational design cannot distinguish these roles, but the haplotype result rules out genetic species identity as the driver. If morphotype is a mediator, conditioning on it masks the very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[Removed for double-anonymized review]</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[Removed for double-anonymized review]</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[Removed for double-anonymized review]</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7" w:name="references"/>
    <w:p>
      <w:pPr>
        <w:pStyle w:val="Heading2"/>
      </w:pPr>
      <w:r>
        <w:t xml:space="preserve">References</w:t>
      </w:r>
    </w:p>
    <w:bookmarkStart w:id="106"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urance2002"/>
    <w:p>
      <w:pPr>
        <w:pStyle w:val="Bibliography"/>
      </w:pPr>
      <w:r>
        <w:t xml:space="preserve">Laurance, W. F., Lovejoy, T. E., Vasconcelos, H. L., Bruna, E. M., Didham, R. K., Stouffer, P. C., Gascon, C., Bierregaard, R. O., Laurance, S. G., &amp; Wilson, E. (2002). Ecosystem decay of</w:t>
      </w:r>
      <w:r>
        <w:t xml:space="preserve"> </w:t>
      </w:r>
      <w:r>
        <w:t xml:space="preserve">Amazonian</w:t>
      </w:r>
      <w:r>
        <w:t xml:space="preserve"> </w:t>
      </w:r>
      <w:r>
        <w:t xml:space="preserve">forest fragments: A 22-year investigation.</w:t>
      </w:r>
      <w:r>
        <w:t xml:space="preserve"> </w:t>
      </w:r>
      <w:r>
        <w:rPr>
          <w:i/>
          <w:iCs/>
        </w:rPr>
        <w:t xml:space="preserve">Conservation Biology</w:t>
      </w:r>
      <w:r>
        <w:t xml:space="preserve">,</w:t>
      </w:r>
      <w:r>
        <w:t xml:space="preserve"> </w:t>
      </w:r>
      <w:r>
        <w:rPr>
          <w:i/>
          <w:iCs/>
        </w:rPr>
        <w:t xml:space="preserve">16</w:t>
      </w:r>
      <w:r>
        <w:t xml:space="preserve">, 605–618.</w:t>
      </w:r>
      <w:r>
        <w:t xml:space="preserve"> </w:t>
      </w:r>
      <w:hyperlink r:id="rId85">
        <w:r>
          <w:rPr>
            <w:rStyle w:val="Hyperlink"/>
          </w:rPr>
          <w:t xml:space="preserve">https://doi.org/10.1046/j.1523-1739.2002.01025.x</w:t>
        </w:r>
      </w:hyperlink>
    </w:p>
    <w:bookmarkEnd w:id="86"/>
    <w:bookmarkStart w:id="88"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7">
        <w:r>
          <w:rPr>
            <w:rStyle w:val="Hyperlink"/>
          </w:rPr>
          <w:t xml:space="preserve">https://doi.org/10.1146/annurev.en.28.010183.000323</w:t>
        </w:r>
      </w:hyperlink>
    </w:p>
    <w:bookmarkEnd w:id="88"/>
    <w:bookmarkStart w:id="89"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9"/>
    <w:bookmarkStart w:id="91"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0">
        <w:r>
          <w:rPr>
            <w:rStyle w:val="Hyperlink"/>
          </w:rPr>
          <w:t xml:space="preserve">https://doi.org/10.1007/s00442-012-2275-2</w:t>
        </w:r>
      </w:hyperlink>
    </w:p>
    <w:bookmarkEnd w:id="91"/>
    <w:bookmarkStart w:id="93"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2">
        <w:r>
          <w:rPr>
            <w:rStyle w:val="Hyperlink"/>
          </w:rPr>
          <w:t xml:space="preserve">https://doi.org/10.1111/j.1365-2656.2005.00913.x</w:t>
        </w:r>
      </w:hyperlink>
    </w:p>
    <w:bookmarkEnd w:id="93"/>
    <w:bookmarkStart w:id="95"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4">
        <w:r>
          <w:rPr>
            <w:rStyle w:val="Hyperlink"/>
          </w:rPr>
          <w:t xml:space="preserve">https://doi.org/10.1371/journal.pone.0135928</w:t>
        </w:r>
      </w:hyperlink>
    </w:p>
    <w:bookmarkEnd w:id="95"/>
    <w:bookmarkStart w:id="97"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6">
        <w:r>
          <w:rPr>
            <w:rStyle w:val="Hyperlink"/>
          </w:rPr>
          <w:t xml:space="preserve">https://doi.org/10.1098/rsbl.2010.0291</w:t>
        </w:r>
      </w:hyperlink>
    </w:p>
    <w:bookmarkEnd w:id="97"/>
    <w:bookmarkStart w:id="99"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8">
        <w:r>
          <w:rPr>
            <w:rStyle w:val="Hyperlink"/>
          </w:rPr>
          <w:t xml:space="preserve">https://doi.org/10.1111/gcb.16000</w:t>
        </w:r>
      </w:hyperlink>
    </w:p>
    <w:bookmarkEnd w:id="99"/>
    <w:bookmarkStart w:id="101"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0">
        <w:r>
          <w:rPr>
            <w:rStyle w:val="Hyperlink"/>
          </w:rPr>
          <w:t xml:space="preserve">https://doi.org/10.1007/s00442-013-2858-6</w:t>
        </w:r>
      </w:hyperlink>
    </w:p>
    <w:bookmarkEnd w:id="101"/>
    <w:bookmarkStart w:id="103"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2">
        <w:r>
          <w:rPr>
            <w:rStyle w:val="Hyperlink"/>
          </w:rPr>
          <w:t xml:space="preserve">https://doi.org/10.1371/journal.pone.0032079</w:t>
        </w:r>
      </w:hyperlink>
    </w:p>
    <w:bookmarkEnd w:id="103"/>
    <w:bookmarkStart w:id="105"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4">
        <w:r>
          <w:rPr>
            <w:rStyle w:val="Hyperlink"/>
          </w:rPr>
          <w:t xml:space="preserve">https://doi.org/10.1890/09-1993.1</w:t>
        </w:r>
      </w:hyperlink>
    </w:p>
    <w:bookmarkEnd w:id="105"/>
    <w:bookmarkEnd w:id="106"/>
    <w:p>
      <w:r>
        <w:pict>
          <v:rect style="width:0;height:1.5pt" o:hralign="center" o:hrstd="t" o:hr="t"/>
        </w:pict>
      </w:r>
    </w:p>
    <w:bookmarkEnd w:id="107"/>
    <w:bookmarkStart w:id="108"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2026-03-23T21:53:43Z</dcterms:created>
  <dcterms:modified xsi:type="dcterms:W3CDTF">2026-03-23T21:53:43Z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