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92"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meaning larger corals harbor more occupants but at progressively lower per-capita densities – density dilution from a finite colonist pool. Because large colonies are diluted, the scaling regime has direct consequences for host condition: colony volume drove compositional turnover dominated by species replacement rather than nestedness, and shorter inter-colony distances independently enhanced richness, an effect that survived rarefaction. Species richness positively predicted coral physiological condition, consistent with biodiversity–ecosystem function theory, though the causal pathway remains uncertain. Together, these results document a chain from habitat quantity through density dilution and community assembly to habitat condition. This chain is relevant wherever habitat loss or climate stress restructures the occupant communities that feed back on the condition of the biogenic habitats they depend 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p>
      <w:pPr>
        <w:pStyle w:val="BodyText"/>
      </w:pPr>
      <w:r>
        <w:t xml:space="preserve">Community variability declined from small to large corals (distance-to-centroid ANOVA F = 9.21, p &lt; 0.001; Fig. S15), consistent with compositional convergence as communities mature. Three-way variance partitioning attributed more unique compositional variation to host architecture (branch width and genetic species identity, 5.6%) than to colony volume alone (4.6%) or site (2.9%; Table S16). Coral genetic species identity independently predicted CAFI composition (marginal PERMANOVA R² = 0.083, p = 0.001; Table S16), with 28 of 52 testable OTUs showing significant host associations (13 genuine genotype effects, 15 architecture-mediated; Table S17; Fig. S13).</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Three-way variance partitioning reveals that host architecture – branch width and genetic species identity – explains more unique compositional variation (5.6%) than colony size (4.6%) or site (2.9%) alone (Table S16; Supplementary Methods), indicating that habitat identity, not merely habitat area, structures these communities. Mutualist and antagonist CAFI responded differently to host identity: the corallivore</w:t>
      </w:r>
      <w:r>
        <w:t xml:space="preserve"> </w:t>
      </w:r>
      <w:r>
        <w:rPr>
          <w:i/>
          <w:iCs/>
        </w:rPr>
        <w:t xml:space="preserve">Galeropsis monodonta</w:t>
      </w:r>
      <w:r>
        <w:t xml:space="preserve"> </w:t>
      </w:r>
      <w:r>
        <w:t xml:space="preserve">showed strong host specificity to</w:t>
      </w:r>
      <w:r>
        <w:t xml:space="preserve"> </w:t>
      </w:r>
      <w:r>
        <w:rPr>
          <w:i/>
          <w:iCs/>
        </w:rPr>
        <w:t xml:space="preserve">P. verrucosa</w:t>
      </w:r>
      <w:r>
        <w:t xml:space="preserve"> </w:t>
      </w:r>
      <w:r>
        <w:t xml:space="preserve">(7-fold enrichment), while obligate mutualists colonized based on geometry rather than host species (see Q3 discussion below). Volume-weighted null models detected no significant pairwise associations after FDR correction (Fig. S9), but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cafi-diversity-and-coral-condition"/>
    <w:p>
      <w:pPr>
        <w:pStyle w:val="Heading3"/>
      </w:pPr>
      <w:r>
        <w:t xml:space="preserve">CAFI diversity and coral condition</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 The large residual variance in composition (91.5% unexplained by site and volume) means that much of the community variation driving any diversity-condition link arises from stochastic colonization history rather than deterministic size-dependent assembly.</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captures variation in branching architecture rather than species identity per se. Branch width nearly perfectly separates</w:t>
      </w:r>
      <w:r>
        <w:t xml:space="preserve"> </w:t>
      </w:r>
      <w:r>
        <w:rPr>
          <w:i/>
          <w:iCs/>
        </w:rPr>
        <w:t xml:space="preserve">P. grandis</w:t>
      </w:r>
      <w:r>
        <w:t xml:space="preserve"> </w:t>
      </w:r>
      <w:r>
        <w:t xml:space="preserve">(90% wide-branching) from the three tight-branching species (Table S15), and genetic species predicts CAFI richness (p = 0.007) and composition (PERMANOVA R² = 0.08, p = 0.001) but not total abundance (p = 0.24) after controlling for volume. Critically, the obligate mutualist</w:t>
      </w:r>
      <w:r>
        <w:t xml:space="preserve"> </w:t>
      </w:r>
      <w:r>
        <w:rPr>
          <w:i/>
          <w:iCs/>
        </w:rPr>
        <w:t xml:space="preserve">Trapezia</w:t>
      </w:r>
      <w:r>
        <w:t xml:space="preserve"> </w:t>
      </w:r>
      <w:r>
        <w:t xml:space="preserve">– the taxon most relevant to the diversity-condition link – did not differ among coral species (p = 0.51), suggesting that guard crabs colonize based on colony geometry rather than host identity. The companion study ([Anonymous, in review]) provides direct evidence for this mediation: haplotype effects on CAFI composition disappeared entirely when branching architecture was controlled (PERMANOVA p: 0.003 → 0.34), with haplotype contributing less than 1% unique variance after architecture. If architecture mediates the genotype-composition link, then conditioning on morphotype masks the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These patterns reflect a single seasonal snapshot; whether the scaling regime and its compositional consequences persist across recruitment cycles and disturbance events remains untested.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38"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tbl>
      <w:tblPr>
        <w:tblStyle w:val="FigureTable"/>
        <w:tblW w:type="auto" w:w="0"/>
        <w:jc w:val="center"/>
        <w:tblLook w:firstRow="0" w:lastRow="0" w:firstColumn="0" w:lastColumn="0"/>
      </w:tblPr>
      <w:tblGrid>
        <w:gridCol w:w="7920"/>
      </w:tblGrid>
      <w:tr>
        <w:tc>
          <w:tcPr/>
          <w:p>
            <w:pPr>
              <w:pStyle w:val="Compact"/>
              <w:jc w:val="center"/>
            </w:pPr>
            <w:r>
              <w:t xml:space="preserve">Fig. 1. Study design and representative CAFI.</w:t>
            </w:r>
          </w:p>
        </w:tc>
      </w:tr>
    </w:tbl>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tbl>
      <w:tblPr>
        <w:tblStyle w:val="FigureTable"/>
        <w:tblW w:type="auto" w:w="0"/>
        <w:jc w:val="center"/>
        <w:tblLook w:firstRow="0" w:lastRow="0" w:firstColumn="0" w:lastColumn="0"/>
      </w:tblPr>
      <w:tblGrid>
        <w:gridCol w:w="7920"/>
      </w:tblGrid>
      <w:tr>
        <w:tc>
          <w:tcPr/>
          <w:p>
            <w:pPr>
              <w:pStyle w:val="Compact"/>
              <w:jc w:val="center"/>
            </w:pPr>
            <w:r>
              <w:t xml:space="preserve">Fig. 2. CAFI scaling with coral volume.</w:t>
            </w:r>
          </w:p>
        </w:tc>
      </w:tr>
    </w:tbl>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tbl>
      <w:tblPr>
        <w:tblStyle w:val="FigureTable"/>
        <w:tblW w:type="auto" w:w="0"/>
        <w:jc w:val="center"/>
        <w:tblLook w:firstRow="0" w:lastRow="0" w:firstColumn="0" w:lastColumn="0"/>
      </w:tblPr>
      <w:tblGrid>
        <w:gridCol w:w="7920"/>
      </w:tblGrid>
      <w:tr>
        <w:tc>
          <w:tcPr/>
          <w:p>
            <w:pPr>
              <w:pStyle w:val="Compact"/>
              <w:jc w:val="center"/>
            </w:pPr>
            <w:r>
              <w:t xml:space="preserve">Fig. 3. Species and group scaling.</w:t>
            </w:r>
          </w:p>
        </w:tc>
      </w:tr>
    </w:tbl>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tbl>
      <w:tblPr>
        <w:tblStyle w:val="FigureTable"/>
        <w:tblW w:type="auto" w:w="0"/>
        <w:jc w:val="center"/>
        <w:tblLook w:firstRow="0" w:lastRow="0" w:firstColumn="0" w:lastColumn="0"/>
      </w:tblPr>
      <w:tblGrid>
        <w:gridCol w:w="7920"/>
      </w:tblGrid>
      <w:tr>
        <w:tc>
          <w:tcPr/>
          <w:p>
            <w:pPr>
              <w:pStyle w:val="Compact"/>
              <w:jc w:val="center"/>
            </w:pPr>
            <w:r>
              <w:t xml:space="preserve">Fig. 4. Community composition.</w:t>
            </w:r>
          </w:p>
        </w:tc>
      </w:tr>
    </w:tbl>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tbl>
      <w:tblPr>
        <w:tblStyle w:val="FigureTable"/>
        <w:tblW w:type="auto" w:w="0"/>
        <w:jc w:val="center"/>
        <w:tblLook w:firstRow="0" w:lastRow="0" w:firstColumn="0" w:lastColumn="0"/>
      </w:tblPr>
      <w:tblGrid>
        <w:gridCol w:w="7920"/>
      </w:tblGrid>
      <w:tr>
        <w:tc>
          <w:tcPr/>
          <w:p>
            <w:pPr>
              <w:pStyle w:val="Compact"/>
              <w:jc w:val="center"/>
            </w:pPr>
            <w:r>
              <w:t xml:space="preserve">Fig. 5. BEF diversity-condition.</w:t>
            </w:r>
          </w:p>
        </w:tc>
      </w:tr>
    </w:tbl>
    <w:p>
      <w:pPr>
        <w:pStyle w:val="ImageCaption"/>
      </w:pPr>
      <w:r>
        <w:t xml:space="preserve">Fig. 5. BEF diversity-condition.</w:t>
      </w:r>
    </w:p>
    <w:p>
      <w:r>
        <w:pict>
          <v:rect style="width:0;height:1.5pt" o:hralign="center" o:hrstd="t" o:hr="t"/>
        </w:pict>
      </w:r>
    </w:p>
    <w:bookmarkEnd w:id="38"/>
    <w:bookmarkStart w:id="90" w:name="references"/>
    <w:p>
      <w:pPr>
        <w:pStyle w:val="Heading2"/>
      </w:pPr>
      <w:r>
        <w:t xml:space="preserve">References</w:t>
      </w:r>
    </w:p>
    <w:bookmarkStart w:id="89" w:name="refs"/>
    <w:bookmarkStart w:id="40"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39">
        <w:r>
          <w:rPr>
            <w:rStyle w:val="Hyperlink"/>
          </w:rPr>
          <w:t xml:space="preserve">https://doi.org/10.2307/3038097</w:t>
        </w:r>
      </w:hyperlink>
    </w:p>
    <w:bookmarkEnd w:id="40"/>
    <w:bookmarkStart w:id="42"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41">
        <w:r>
          <w:rPr>
            <w:rStyle w:val="Hyperlink"/>
          </w:rPr>
          <w:t xml:space="preserve">https://doi.org/10.1016/j.jembe.2004.12.023</w:t>
        </w:r>
      </w:hyperlink>
    </w:p>
    <w:bookmarkEnd w:id="42"/>
    <w:bookmarkStart w:id="44"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43">
        <w:r>
          <w:rPr>
            <w:rStyle w:val="Hyperlink"/>
          </w:rPr>
          <w:t xml:space="preserve">https://doi.org/10.1016/0169-5347(94)90246-1</w:t>
        </w:r>
      </w:hyperlink>
    </w:p>
    <w:bookmarkEnd w:id="44"/>
    <w:bookmarkStart w:id="46"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45">
        <w:r>
          <w:rPr>
            <w:rStyle w:val="Hyperlink"/>
          </w:rPr>
          <w:t xml:space="preserve">https://doi.org/10.1002/ecy.3324</w:t>
        </w:r>
      </w:hyperlink>
    </w:p>
    <w:bookmarkEnd w:id="46"/>
    <w:bookmarkStart w:id="48"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47">
        <w:r>
          <w:rPr>
            <w:rStyle w:val="Hyperlink"/>
          </w:rPr>
          <w:t xml:space="preserve">https://doi.org/10.1007/BF00390685</w:t>
        </w:r>
      </w:hyperlink>
    </w:p>
    <w:bookmarkEnd w:id="48"/>
    <w:bookmarkStart w:id="50"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49">
        <w:r>
          <w:rPr>
            <w:rStyle w:val="Hyperlink"/>
          </w:rPr>
          <w:t xml:space="preserve">https://doi.org/10.1371/journal.pone.0208545</w:t>
        </w:r>
      </w:hyperlink>
    </w:p>
    <w:bookmarkEnd w:id="50"/>
    <w:bookmarkStart w:id="52"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51">
        <w:r>
          <w:rPr>
            <w:rStyle w:val="Hyperlink"/>
          </w:rPr>
          <w:t xml:space="preserve">https://doi.org/10.1007/s00338-018-1709-7</w:t>
        </w:r>
      </w:hyperlink>
    </w:p>
    <w:bookmarkEnd w:id="52"/>
    <w:bookmarkStart w:id="54"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53">
        <w:r>
          <w:rPr>
            <w:rStyle w:val="Hyperlink"/>
          </w:rPr>
          <w:t xml:space="preserve">https://doi.org/10.2307/5880</w:t>
        </w:r>
      </w:hyperlink>
    </w:p>
    <w:bookmarkEnd w:id="54"/>
    <w:bookmarkStart w:id="55"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55"/>
    <w:bookmarkStart w:id="57"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56">
        <w:r>
          <w:rPr>
            <w:rStyle w:val="Hyperlink"/>
          </w:rPr>
          <w:t xml:space="preserve">https://doi.org/10.1126/sciadv.1500052</w:t>
        </w:r>
      </w:hyperlink>
    </w:p>
    <w:bookmarkEnd w:id="57"/>
    <w:bookmarkStart w:id="59"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58">
        <w:r>
          <w:rPr>
            <w:rStyle w:val="Hyperlink"/>
          </w:rPr>
          <w:t xml:space="preserve">https://doi.org/10.1007/s12080-017-0352-1</w:t>
        </w:r>
      </w:hyperlink>
    </w:p>
    <w:bookmarkEnd w:id="59"/>
    <w:bookmarkStart w:id="61"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60">
        <w:r>
          <w:rPr>
            <w:rStyle w:val="Hyperlink"/>
          </w:rPr>
          <w:t xml:space="preserve">https://doi.org/10.1126/science.286.5442.1123</w:t>
        </w:r>
      </w:hyperlink>
    </w:p>
    <w:bookmarkEnd w:id="61"/>
    <w:bookmarkStart w:id="63"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62">
        <w:r>
          <w:rPr>
            <w:rStyle w:val="Hyperlink"/>
          </w:rPr>
          <w:t xml:space="preserve">https://doi.org/10.1007/s00227-008-1051-7</w:t>
        </w:r>
      </w:hyperlink>
    </w:p>
    <w:bookmarkEnd w:id="63"/>
    <w:bookmarkStart w:id="65"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64">
        <w:r>
          <w:rPr>
            <w:rStyle w:val="Hyperlink"/>
          </w:rPr>
          <w:t xml:space="preserve">https://doi.org/10.3354/meps030021</w:t>
        </w:r>
      </w:hyperlink>
    </w:p>
    <w:bookmarkEnd w:id="65"/>
    <w:bookmarkStart w:id="67"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66">
        <w:r>
          <w:rPr>
            <w:rStyle w:val="Hyperlink"/>
          </w:rPr>
          <w:t xml:space="preserve">https://doi.org/10.1111/mec.16556</w:t>
        </w:r>
      </w:hyperlink>
    </w:p>
    <w:bookmarkEnd w:id="67"/>
    <w:bookmarkStart w:id="69"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68">
        <w:r>
          <w:rPr>
            <w:rStyle w:val="Hyperlink"/>
          </w:rPr>
          <w:t xml:space="preserve">https://doi.org/10.1038/nature06970</w:t>
        </w:r>
      </w:hyperlink>
    </w:p>
    <w:bookmarkEnd w:id="69"/>
    <w:bookmarkStart w:id="71"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70">
        <w:r>
          <w:rPr>
            <w:rStyle w:val="Hyperlink"/>
          </w:rPr>
          <w:t xml:space="preserve">https://doi.org/10.1146/annurev.en.28.010183.000323</w:t>
        </w:r>
      </w:hyperlink>
    </w:p>
    <w:bookmarkEnd w:id="71"/>
    <w:bookmarkStart w:id="72"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72"/>
    <w:bookmarkStart w:id="74"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73">
        <w:r>
          <w:rPr>
            <w:rStyle w:val="Hyperlink"/>
          </w:rPr>
          <w:t xml:space="preserve">https://doi.org/10.1007/s00442-012-2275-2</w:t>
        </w:r>
      </w:hyperlink>
    </w:p>
    <w:bookmarkEnd w:id="74"/>
    <w:bookmarkStart w:id="76"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75">
        <w:r>
          <w:rPr>
            <w:rStyle w:val="Hyperlink"/>
          </w:rPr>
          <w:t xml:space="preserve">https://doi.org/10.1111/j.1365-2656.2005.00913.x</w:t>
        </w:r>
      </w:hyperlink>
    </w:p>
    <w:bookmarkEnd w:id="76"/>
    <w:bookmarkStart w:id="78"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77">
        <w:r>
          <w:rPr>
            <w:rStyle w:val="Hyperlink"/>
          </w:rPr>
          <w:t xml:space="preserve">https://doi.org/10.1371/journal.pone.0135928</w:t>
        </w:r>
      </w:hyperlink>
    </w:p>
    <w:bookmarkEnd w:id="78"/>
    <w:bookmarkStart w:id="80"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79">
        <w:r>
          <w:rPr>
            <w:rStyle w:val="Hyperlink"/>
          </w:rPr>
          <w:t xml:space="preserve">https://doi.org/10.1098/rsbl.2010.0291</w:t>
        </w:r>
      </w:hyperlink>
    </w:p>
    <w:bookmarkEnd w:id="80"/>
    <w:bookmarkStart w:id="82"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81">
        <w:r>
          <w:rPr>
            <w:rStyle w:val="Hyperlink"/>
          </w:rPr>
          <w:t xml:space="preserve">https://doi.org/10.1111/gcb.16000</w:t>
        </w:r>
      </w:hyperlink>
    </w:p>
    <w:bookmarkEnd w:id="82"/>
    <w:bookmarkStart w:id="84"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83">
        <w:r>
          <w:rPr>
            <w:rStyle w:val="Hyperlink"/>
          </w:rPr>
          <w:t xml:space="preserve">https://doi.org/10.1007/s00442-013-2858-6</w:t>
        </w:r>
      </w:hyperlink>
    </w:p>
    <w:bookmarkEnd w:id="84"/>
    <w:bookmarkStart w:id="86"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85">
        <w:r>
          <w:rPr>
            <w:rStyle w:val="Hyperlink"/>
          </w:rPr>
          <w:t xml:space="preserve">https://doi.org/10.1371/journal.pone.0032079</w:t>
        </w:r>
      </w:hyperlink>
    </w:p>
    <w:bookmarkEnd w:id="86"/>
    <w:bookmarkStart w:id="88"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87">
        <w:r>
          <w:rPr>
            <w:rStyle w:val="Hyperlink"/>
          </w:rPr>
          <w:t xml:space="preserve">https://doi.org/10.1890/09-1993.1</w:t>
        </w:r>
      </w:hyperlink>
    </w:p>
    <w:bookmarkEnd w:id="88"/>
    <w:bookmarkEnd w:id="89"/>
    <w:p>
      <w:r>
        <w:pict>
          <v:rect style="width:0;height:1.5pt" o:hralign="center" o:hrstd="t" o:hr="t"/>
        </w:pict>
      </w:r>
    </w:p>
    <w:bookmarkEnd w:id="90"/>
    <w:bookmarkStart w:id="91"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https://doi.org/10.1002/ecy.3324" TargetMode="External" /><Relationship Type="http://schemas.openxmlformats.org/officeDocument/2006/relationships/hyperlink" Id="rId47" Target="https://doi.org/10.1007/BF00390685" TargetMode="External" /><Relationship Type="http://schemas.openxmlformats.org/officeDocument/2006/relationships/hyperlink" Id="rId62" Target="https://doi.org/10.1007/s00227-008-1051-7" TargetMode="External" /><Relationship Type="http://schemas.openxmlformats.org/officeDocument/2006/relationships/hyperlink" Id="rId51" Target="https://doi.org/10.1007/s00338-018-1709-7" TargetMode="External" /><Relationship Type="http://schemas.openxmlformats.org/officeDocument/2006/relationships/hyperlink" Id="rId73" Target="https://doi.org/10.1007/s00442-012-2275-2" TargetMode="External" /><Relationship Type="http://schemas.openxmlformats.org/officeDocument/2006/relationships/hyperlink" Id="rId83" Target="https://doi.org/10.1007/s00442-013-2858-6" TargetMode="External" /><Relationship Type="http://schemas.openxmlformats.org/officeDocument/2006/relationships/hyperlink" Id="rId58" Target="https://doi.org/10.1007/s12080-017-0352-1" TargetMode="External" /><Relationship Type="http://schemas.openxmlformats.org/officeDocument/2006/relationships/hyperlink" Id="rId43" Target="https://doi.org/10.1016/0169-5347(94)90246-1" TargetMode="External" /><Relationship Type="http://schemas.openxmlformats.org/officeDocument/2006/relationships/hyperlink" Id="rId41" Target="https://doi.org/10.1016/j.jembe.2004.12.023" TargetMode="External" /><Relationship Type="http://schemas.openxmlformats.org/officeDocument/2006/relationships/hyperlink" Id="rId68" Target="https://doi.org/10.1038/nature06970" TargetMode="External" /><Relationship Type="http://schemas.openxmlformats.org/officeDocument/2006/relationships/hyperlink" Id="rId79" Target="https://doi.org/10.1098/rsbl.2010.0291" TargetMode="External" /><Relationship Type="http://schemas.openxmlformats.org/officeDocument/2006/relationships/hyperlink" Id="rId81" Target="https://doi.org/10.1111/gcb.16000" TargetMode="External" /><Relationship Type="http://schemas.openxmlformats.org/officeDocument/2006/relationships/hyperlink" Id="rId75" Target="https://doi.org/10.1111/j.1365-2656.2005.00913.x" TargetMode="External" /><Relationship Type="http://schemas.openxmlformats.org/officeDocument/2006/relationships/hyperlink" Id="rId66" Target="https://doi.org/10.1111/mec.16556" TargetMode="External" /><Relationship Type="http://schemas.openxmlformats.org/officeDocument/2006/relationships/hyperlink" Id="rId56" Target="https://doi.org/10.1126/sciadv.1500052" TargetMode="External" /><Relationship Type="http://schemas.openxmlformats.org/officeDocument/2006/relationships/hyperlink" Id="rId60" Target="https://doi.org/10.1126/science.286.5442.1123" TargetMode="External" /><Relationship Type="http://schemas.openxmlformats.org/officeDocument/2006/relationships/hyperlink" Id="rId70" Target="https://doi.org/10.1146/annurev.en.28.010183.000323" TargetMode="External" /><Relationship Type="http://schemas.openxmlformats.org/officeDocument/2006/relationships/hyperlink" Id="rId85" Target="https://doi.org/10.1371/journal.pone.0032079" TargetMode="External" /><Relationship Type="http://schemas.openxmlformats.org/officeDocument/2006/relationships/hyperlink" Id="rId77" Target="https://doi.org/10.1371/journal.pone.0135928" TargetMode="External" /><Relationship Type="http://schemas.openxmlformats.org/officeDocument/2006/relationships/hyperlink" Id="rId49" Target="https://doi.org/10.1371/journal.pone.0208545" TargetMode="External" /><Relationship Type="http://schemas.openxmlformats.org/officeDocument/2006/relationships/hyperlink" Id="rId87" Target="https://doi.org/10.1890/09-1993.1" TargetMode="External" /><Relationship Type="http://schemas.openxmlformats.org/officeDocument/2006/relationships/hyperlink" Id="rId39" Target="https://doi.org/10.2307/3038097" TargetMode="External" /><Relationship Type="http://schemas.openxmlformats.org/officeDocument/2006/relationships/hyperlink" Id="rId53" Target="https://doi.org/10.2307/5880" TargetMode="External" /><Relationship Type="http://schemas.openxmlformats.org/officeDocument/2006/relationships/hyperlink" Id="rId64"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2/ecy.3324" TargetMode="External" /><Relationship Type="http://schemas.openxmlformats.org/officeDocument/2006/relationships/hyperlink" Id="rId47" Target="https://doi.org/10.1007/BF00390685" TargetMode="External" /><Relationship Type="http://schemas.openxmlformats.org/officeDocument/2006/relationships/hyperlink" Id="rId62" Target="https://doi.org/10.1007/s00227-008-1051-7" TargetMode="External" /><Relationship Type="http://schemas.openxmlformats.org/officeDocument/2006/relationships/hyperlink" Id="rId51" Target="https://doi.org/10.1007/s00338-018-1709-7" TargetMode="External" /><Relationship Type="http://schemas.openxmlformats.org/officeDocument/2006/relationships/hyperlink" Id="rId73" Target="https://doi.org/10.1007/s00442-012-2275-2" TargetMode="External" /><Relationship Type="http://schemas.openxmlformats.org/officeDocument/2006/relationships/hyperlink" Id="rId83" Target="https://doi.org/10.1007/s00442-013-2858-6" TargetMode="External" /><Relationship Type="http://schemas.openxmlformats.org/officeDocument/2006/relationships/hyperlink" Id="rId58" Target="https://doi.org/10.1007/s12080-017-0352-1" TargetMode="External" /><Relationship Type="http://schemas.openxmlformats.org/officeDocument/2006/relationships/hyperlink" Id="rId43" Target="https://doi.org/10.1016/0169-5347(94)90246-1" TargetMode="External" /><Relationship Type="http://schemas.openxmlformats.org/officeDocument/2006/relationships/hyperlink" Id="rId41" Target="https://doi.org/10.1016/j.jembe.2004.12.023" TargetMode="External" /><Relationship Type="http://schemas.openxmlformats.org/officeDocument/2006/relationships/hyperlink" Id="rId68" Target="https://doi.org/10.1038/nature06970" TargetMode="External" /><Relationship Type="http://schemas.openxmlformats.org/officeDocument/2006/relationships/hyperlink" Id="rId79" Target="https://doi.org/10.1098/rsbl.2010.0291" TargetMode="External" /><Relationship Type="http://schemas.openxmlformats.org/officeDocument/2006/relationships/hyperlink" Id="rId81" Target="https://doi.org/10.1111/gcb.16000" TargetMode="External" /><Relationship Type="http://schemas.openxmlformats.org/officeDocument/2006/relationships/hyperlink" Id="rId75" Target="https://doi.org/10.1111/j.1365-2656.2005.00913.x" TargetMode="External" /><Relationship Type="http://schemas.openxmlformats.org/officeDocument/2006/relationships/hyperlink" Id="rId66" Target="https://doi.org/10.1111/mec.16556" TargetMode="External" /><Relationship Type="http://schemas.openxmlformats.org/officeDocument/2006/relationships/hyperlink" Id="rId56" Target="https://doi.org/10.1126/sciadv.1500052" TargetMode="External" /><Relationship Type="http://schemas.openxmlformats.org/officeDocument/2006/relationships/hyperlink" Id="rId60" Target="https://doi.org/10.1126/science.286.5442.1123" TargetMode="External" /><Relationship Type="http://schemas.openxmlformats.org/officeDocument/2006/relationships/hyperlink" Id="rId70" Target="https://doi.org/10.1146/annurev.en.28.010183.000323" TargetMode="External" /><Relationship Type="http://schemas.openxmlformats.org/officeDocument/2006/relationships/hyperlink" Id="rId85" Target="https://doi.org/10.1371/journal.pone.0032079" TargetMode="External" /><Relationship Type="http://schemas.openxmlformats.org/officeDocument/2006/relationships/hyperlink" Id="rId77" Target="https://doi.org/10.1371/journal.pone.0135928" TargetMode="External" /><Relationship Type="http://schemas.openxmlformats.org/officeDocument/2006/relationships/hyperlink" Id="rId49" Target="https://doi.org/10.1371/journal.pone.0208545" TargetMode="External" /><Relationship Type="http://schemas.openxmlformats.org/officeDocument/2006/relationships/hyperlink" Id="rId87" Target="https://doi.org/10.1890/09-1993.1" TargetMode="External" /><Relationship Type="http://schemas.openxmlformats.org/officeDocument/2006/relationships/hyperlink" Id="rId39" Target="https://doi.org/10.2307/3038097" TargetMode="External" /><Relationship Type="http://schemas.openxmlformats.org/officeDocument/2006/relationships/hyperlink" Id="rId53" Target="https://doi.org/10.2307/5880" TargetMode="External" /><Relationship Type="http://schemas.openxmlformats.org/officeDocument/2006/relationships/hyperlink" Id="rId64"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2026-03-24T01:03:42Z</dcterms:created>
  <dcterms:modified xsi:type="dcterms:W3CDTF">2026-03-24T01:03:42Z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manuscript/journal-of-animal-ecology.csl</vt:lpwstr>
  </property>
  <property fmtid="{D5CDD505-2E9C-101B-9397-08002B2CF9AE}" pid="4" name="link-citations">
    <vt:lpwstr>True</vt:lpwstr>
  </property>
</Properties>
</file>