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We submit</w:t>
      </w:r>
      <w:r>
        <w:t xml:space="preserve"> </w:t>
      </w:r>
      <w:r>
        <w:t xml:space="preserve">“Colony size drives sublinear scaling, compositional turnover, and biodiversity–condition feedbacks in coral-associated fauna”</w:t>
      </w:r>
      <w:r>
        <w:t xml:space="preserve"> </w:t>
      </w:r>
      <w:r>
        <w:t xml:space="preserve">for consideration as a Research Article in the</w:t>
      </w:r>
      <w:r>
        <w:t xml:space="preserve"> </w:t>
      </w:r>
      <w:r>
        <w:rPr>
          <w:i/>
          <w:iCs/>
        </w:rPr>
        <w:t xml:space="preserve">Journal of Animal Ecology</w:t>
      </w:r>
      <w:r>
        <w:t xml:space="preserve">.</w:t>
      </w:r>
    </w:p>
    <w:p>
      <w:pPr>
        <w:pStyle w:val="BodyText"/>
      </w:pPr>
      <w:r>
        <w:t xml:space="preserve">Biogenic habitats – corals, trees, oysters, kelps – support animal communities whose abundance scales with habitat size. Whether that scaling is proportional or sublinear determines per-capita density, which in turn governs occupant–host interactions that feed back on habitat condition. This feedback chain from habitat quantity through community assembly to habitat condition has been recognized theoretically but never tested empirically. Our study provides, to our knowledge, the first end-to-end test of this chain in a biogenic habitat system, bridging scaling ecology, community assembly, and biodiversity–ecosystem function (BEF) theory within a single observational framework.</w:t>
      </w:r>
    </w:p>
    <w:p>
      <w:pPr>
        <w:pStyle w:val="BodyText"/>
      </w:pPr>
      <w:r>
        <w:t xml:space="preserve">We surveyed 114</w:t>
      </w:r>
      <w:r>
        <w:t xml:space="preserve"> </w:t>
      </w:r>
      <w:r>
        <w:rPr>
          <w:i/>
          <w:iCs/>
        </w:rPr>
        <w:t xml:space="preserve">Pocillopora</w:t>
      </w:r>
      <w:r>
        <w:t xml:space="preserve"> </w:t>
      </w:r>
      <w:r>
        <w:t xml:space="preserve">coral colonies spanning three orders of magnitude in size across three reef habitats, cataloguing nearly 4,000 coral-associated fishes and invertebrates from 243 taxa. Three results advance general understanding of animal community organization in biogenic habitats. First, abundance scales sublinearly with habitat size, producing density dilution – larger corals harbor more occupants but at progressively lower per-capita densities. Second, colony size structures community composition through species turnover rather than nestedness, an effect that survives rarefaction and is therefore not an abundance artifact. Third, species richness is positively associated with coral physiological condition, consistent with BEF theory, though the strong richness–abundance correlation prevents definitive causal attribution.</w:t>
      </w:r>
    </w:p>
    <w:p>
      <w:pPr>
        <w:pStyle w:val="BodyText"/>
      </w:pPr>
      <w:r>
        <w:t xml:space="preserve">We believe this work aligns closely with</w:t>
      </w:r>
      <w:r>
        <w:t xml:space="preserve"> </w:t>
      </w:r>
      <w:r>
        <w:rPr>
          <w:i/>
          <w:iCs/>
        </w:rPr>
        <w:t xml:space="preserve">Journal of Animal Ecology</w:t>
      </w:r>
      <w:r>
        <w:t xml:space="preserve">’s core scope. The manuscript addresses community assembly and BEF in an animal system, and its conceptual framework – scaling, density dilution, and diversity–function feedbacks – applies wherever animals occupy biogenic habitats. The results are framed for a broad ecological audience, using the coral system to illustrate principles relevant to oyster reefs, forest canopies, kelp holdfasts, and other foundation species.</w:t>
      </w:r>
    </w:p>
    <w:p>
      <w:pPr>
        <w:pStyle w:val="BodyText"/>
      </w:pPr>
      <w:r>
        <w:t xml:space="preserve">This study complements a companion density-manipulation experiment (Stier et al., in review), together providing both observational and experimental evidence for the scaling-to-feedback chain. That manuscript is under review at a separate journal and does not overlap substantively with the present submission.</w:t>
      </w:r>
    </w:p>
    <w:p>
      <w:pPr>
        <w:pStyle w:val="BodyText"/>
      </w:pPr>
      <w:r>
        <w:t xml:space="preserve">This manuscript has not been published previously and is not under consideration elsewhere. All authors have approved the submitted version.</w:t>
      </w:r>
    </w:p>
    <w:p>
      <w:pPr>
        <w:pStyle w:val="BodyText"/>
      </w:pPr>
      <w:r>
        <w:t xml:space="preserve">We look forward to your consideration.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2026-03-22T21:03:01Z</dcterms:created>
  <dcterms:modified xsi:type="dcterms:W3CDTF">2026-03-22T21:03:01Z</dcterms:modified>
</cp:coreProperties>
</file>

<file path=docProps/custom.xml><?xml version="1.0" encoding="utf-8"?>
<Properties xmlns="http://schemas.openxmlformats.org/officeDocument/2006/custom-properties" xmlns:vt="http://schemas.openxmlformats.org/officeDocument/2006/docPropsVTypes"/>
</file>