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0"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95% CI [0.44, 0.62]): larger corals harbor more occupants but at progressively lower per-capita densities, consistent with density dilution from a finite colonist pool. Colony volume explained 7.8% of community composition after accounting for reef site (db-RDA, p = 0.001), with species replacement accounting for 81% of beta diversity along the size gradient; shorter inter-colony distances independently enhanced richness (n = 61; p = 0.001), an effect that survived rarefaction. Species richness positively predicted coral physiological condition (standardized β = 0.36, raw p = 0.018, Hochberg-adjusted p = 0.036), consistent with biodiversity–ecosystem function theory, though richness and abundance are strongly correlated and adding coral morphotype absorbs the signal, preventing definitive causal attribution. Together, these results document a chain from habitat quantity through community assembly to habitat condition. Because density dilution leaves large colonies with proportionally fewer mutualists, this chain is relevant wherever habitat loss or climate stress restructures the occupant communities that feed back on habitat condition.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X2c09fb04768d07c2a9474ebb6f98b1cb4a33eaf"/>
    <w:p>
      <w:pPr>
        <w:pStyle w:val="Heading3"/>
      </w:pPr>
      <w:r>
        <w:t xml:space="preserve">CAFI diversity and coral condition: a BEF test</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making morphotype either a mediator (part of the pathway through which habitat structure generates diversity) or a common cause that independently shapes both richness and condition. The observational design cannot distinguish these roles, but the haplotype result rules out genetic species identity as the driver. If morphotype is a mediator, conditioning on it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8" w:name="references"/>
    <w:p>
      <w:pPr>
        <w:pStyle w:val="Heading2"/>
      </w:pPr>
      <w:r>
        <w:t xml:space="preserve">References</w:t>
      </w:r>
    </w:p>
    <w:bookmarkStart w:id="107"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Start w:id="106"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6"/>
    <w:bookmarkEnd w:id="107"/>
    <w:p>
      <w:r>
        <w:pict>
          <v:rect style="width:0;height:1.5pt" o:hralign="center" o:hrstd="t" o:hr="t"/>
        </w:pict>
      </w:r>
    </w:p>
    <w:bookmarkEnd w:id="108"/>
    <w:bookmarkStart w:id="109"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2026-03-23T20:40:28Z</dcterms:created>
  <dcterms:modified xsi:type="dcterms:W3CDTF">2026-03-23T20:40:28Z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