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07"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with host architecture explaining as much unique compositional variation as habitat area itself.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([Anonymous,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([Anonymous,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Beyond size and site, host identity also structured community composition. Community variability declined from small to large corals (distance-to-centroid ANOVA F = 9.21, p &lt; 0.001; Fig. S15), consistent with compositional convergence as communities mature. Three-way variance partitioning attributed more unique compositional variation to host architecture (branch width and genetic species identity, 5.6%) than to colony volume alone (4.6%) or site (2.9%; Table S16). Coral genetic species identity independently predicted CAFI composition (marginal PERMANOVA R² = 0.083, p = 0.001; Table S16), with 28 of 52 testable OTUs showing significant host associations (13 genuine genotype effects, 15 architecture-mediated; Table S17; Fig. S13).</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a companion manipulation experiment ([Anonymous, in review]) 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 ([Anonymous, in review]),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Three-way variance partitioning reveals that host architecture – branch width and genetic species identity – explains more unique compositional variation (5.6%) than colony size (4.6%) or site (2.9%) alone (Table S16; Supplementary Methods), indicating that habitat identity, not merely habitat area, structures these communities. Mutualist and antagonist CAFI responded differently to host identity: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 mutualists colonized based on colony geometry rather than host species. Volume-weighted null models detected no significant pairwise associations after FDR correction (Fig. S9), but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minimum detectable R² = 0.15 at 80%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captures variation in branching architecture rather than species identity per se. Branch width nearly perfectly separates</w:t>
      </w:r>
      <w:r>
        <w:t xml:space="preserve"> </w:t>
      </w:r>
      <w:r>
        <w:rPr>
          <w:i/>
          <w:iCs/>
        </w:rPr>
        <w:t xml:space="preserve">P. grandis</w:t>
      </w:r>
      <w:r>
        <w:t xml:space="preserve"> </w:t>
      </w:r>
      <w:r>
        <w:t xml:space="preserve">(90% wide-branching) from the three tight-branching species (Table S15), and genetic species predicts CAFI richness (p = 0.007) and composition (PERMANOVA R² = 0.08, p = 0.001) but not total abundance (p = 0.24) after controlling for volume. Critically, the obligate mutualist</w:t>
      </w:r>
      <w:r>
        <w:t xml:space="preserve"> </w:t>
      </w:r>
      <w:r>
        <w:rPr>
          <w:i/>
          <w:iCs/>
        </w:rPr>
        <w:t xml:space="preserve">Trapezia</w:t>
      </w:r>
      <w:r>
        <w:t xml:space="preserve"> </w:t>
      </w:r>
      <w:r>
        <w:t xml:space="preserve">– the taxon most relevant to the diversity-condition link – did not differ among coral species (p = 0.51), suggesting that guard crabs colonize based on colony geometry rather than host identity. The companion study ([Anonymous, in review]) provides direct evidence for this mediation: haplotype effects on CAFI composition disappeared entirely when branching architecture was controlled (PERMANOVA p: 0.003 → 0.34), with haplotype contributing less than 1% unique variance after architecture. If architecture mediates the genotype-composition link, then conditioning on morphotype masks the pathway through which habitat structure generates diversity, and the absorption of the richness signal is expected rather than damning. Mediation analysis confirmed that the richness effect operates directly rather than through abundance (ACME p = 0.69; Table S12).</w:t>
      </w:r>
    </w:p>
    <w:p>
      <w:pPr>
        <w:pStyle w:val="BodyText"/>
      </w:pPr>
      <w:r>
        <w:t xml:space="preserve">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5" w:name="references"/>
    <w:p>
      <w:pPr>
        <w:pStyle w:val="Heading2"/>
      </w:pPr>
      <w:r>
        <w:t xml:space="preserve">References</w:t>
      </w:r>
    </w:p>
    <w:bookmarkStart w:id="104"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5">
        <w:r>
          <w:rPr>
            <w:rStyle w:val="Hyperlink"/>
          </w:rPr>
          <w:t xml:space="preserve">https://doi.org/10.1146/annurev.en.28.010183.000323</w:t>
        </w:r>
      </w:hyperlink>
    </w:p>
    <w:bookmarkEnd w:id="86"/>
    <w:bookmarkStart w:id="87"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7"/>
    <w:bookmarkStart w:id="89"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88">
        <w:r>
          <w:rPr>
            <w:rStyle w:val="Hyperlink"/>
          </w:rPr>
          <w:t xml:space="preserve">https://doi.org/10.1007/s00442-012-2275-2</w:t>
        </w:r>
      </w:hyperlink>
    </w:p>
    <w:bookmarkEnd w:id="89"/>
    <w:bookmarkStart w:id="91"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0">
        <w:r>
          <w:rPr>
            <w:rStyle w:val="Hyperlink"/>
          </w:rPr>
          <w:t xml:space="preserve">https://doi.org/10.1111/j.1365-2656.2005.00913.x</w:t>
        </w:r>
      </w:hyperlink>
    </w:p>
    <w:bookmarkEnd w:id="91"/>
    <w:bookmarkStart w:id="93"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2">
        <w:r>
          <w:rPr>
            <w:rStyle w:val="Hyperlink"/>
          </w:rPr>
          <w:t xml:space="preserve">https://doi.org/10.1371/journal.pone.0135928</w:t>
        </w:r>
      </w:hyperlink>
    </w:p>
    <w:bookmarkEnd w:id="93"/>
    <w:bookmarkStart w:id="95"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4">
        <w:r>
          <w:rPr>
            <w:rStyle w:val="Hyperlink"/>
          </w:rPr>
          <w:t xml:space="preserve">https://doi.org/10.1098/rsbl.2010.0291</w:t>
        </w:r>
      </w:hyperlink>
    </w:p>
    <w:bookmarkEnd w:id="95"/>
    <w:bookmarkStart w:id="97"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6">
        <w:r>
          <w:rPr>
            <w:rStyle w:val="Hyperlink"/>
          </w:rPr>
          <w:t xml:space="preserve">https://doi.org/10.1111/gcb.16000</w:t>
        </w:r>
      </w:hyperlink>
    </w:p>
    <w:bookmarkEnd w:id="97"/>
    <w:bookmarkStart w:id="99"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98">
        <w:r>
          <w:rPr>
            <w:rStyle w:val="Hyperlink"/>
          </w:rPr>
          <w:t xml:space="preserve">https://doi.org/10.1007/s00442-013-2858-6</w:t>
        </w:r>
      </w:hyperlink>
    </w:p>
    <w:bookmarkEnd w:id="99"/>
    <w:bookmarkStart w:id="101"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0">
        <w:r>
          <w:rPr>
            <w:rStyle w:val="Hyperlink"/>
          </w:rPr>
          <w:t xml:space="preserve">https://doi.org/10.1371/journal.pone.0032079</w:t>
        </w:r>
      </w:hyperlink>
    </w:p>
    <w:bookmarkEnd w:id="101"/>
    <w:bookmarkStart w:id="103"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2">
        <w:r>
          <w:rPr>
            <w:rStyle w:val="Hyperlink"/>
          </w:rPr>
          <w:t xml:space="preserve">https://doi.org/10.1890/09-1993.1</w:t>
        </w:r>
      </w:hyperlink>
    </w:p>
    <w:bookmarkEnd w:id="103"/>
    <w:bookmarkEnd w:id="104"/>
    <w:p>
      <w:r>
        <w:pict>
          <v:rect style="width:0;height:1.5pt" o:hralign="center" o:hrstd="t" o:hr="t"/>
        </w:pict>
      </w:r>
    </w:p>
    <w:bookmarkEnd w:id="105"/>
    <w:bookmarkStart w:id="106"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(17 supplementary figures, 20 supplementary tables, supplementary methods).</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88" Target="https://doi.org/10.1007/s00442-012-2275-2" TargetMode="External" /><Relationship Type="http://schemas.openxmlformats.org/officeDocument/2006/relationships/hyperlink" Id="rId98"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94" Target="https://doi.org/10.1098/rsbl.2010.0291" TargetMode="External" /><Relationship Type="http://schemas.openxmlformats.org/officeDocument/2006/relationships/hyperlink" Id="rId96" Target="https://doi.org/10.1111/gcb.16000" TargetMode="External" /><Relationship Type="http://schemas.openxmlformats.org/officeDocument/2006/relationships/hyperlink" Id="rId90"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5" Target="https://doi.org/10.1146/annurev.en.28.010183.000323" TargetMode="External" /><Relationship Type="http://schemas.openxmlformats.org/officeDocument/2006/relationships/hyperlink" Id="rId100" Target="https://doi.org/10.1371/journal.pone.0032079" TargetMode="External" /><Relationship Type="http://schemas.openxmlformats.org/officeDocument/2006/relationships/hyperlink" Id="rId92"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2"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88" Target="https://doi.org/10.1007/s00442-012-2275-2" TargetMode="External" /><Relationship Type="http://schemas.openxmlformats.org/officeDocument/2006/relationships/hyperlink" Id="rId98"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94" Target="https://doi.org/10.1098/rsbl.2010.0291" TargetMode="External" /><Relationship Type="http://schemas.openxmlformats.org/officeDocument/2006/relationships/hyperlink" Id="rId96" Target="https://doi.org/10.1111/gcb.16000" TargetMode="External" /><Relationship Type="http://schemas.openxmlformats.org/officeDocument/2006/relationships/hyperlink" Id="rId90"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5" Target="https://doi.org/10.1146/annurev.en.28.010183.000323" TargetMode="External" /><Relationship Type="http://schemas.openxmlformats.org/officeDocument/2006/relationships/hyperlink" Id="rId100" Target="https://doi.org/10.1371/journal.pone.0032079" TargetMode="External" /><Relationship Type="http://schemas.openxmlformats.org/officeDocument/2006/relationships/hyperlink" Id="rId92"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2"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2026-03-24T04:41:06Z</dcterms:created>
  <dcterms:modified xsi:type="dcterms:W3CDTF">2026-03-24T04:41:06Z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