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09" w:name="X833a375cd9ba65dbf46f3ef06ef724ad27fb6a5"/>
    <w:p>
      <w:pPr>
        <w:pStyle w:val="Heading1"/>
      </w:pPr>
      <w:r>
        <w:t xml:space="preserve">Colony size drives sublinear scaling, compositional turnover, and biodiversity–condition feedbacks in coral-associated fauna</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and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([Anonymous,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We predicted turnover rather than nestedness, with colony volume structuring occupant identity beyond abundance alone.</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([Anonymous,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9"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5"/>
    <w:bookmarkStart w:id="27"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bookmarkStart w:id="26"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6"/>
    <w:bookmarkEnd w:id="27"/>
    <w:bookmarkStart w:id="28"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28"/>
    <w:bookmarkEnd w:id="29"/>
    <w:bookmarkStart w:id="34"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a companion manipulation experiment ([Anonymous, in review]) and the broader experimental literature.</w:t>
      </w:r>
    </w:p>
    <w:bookmarkStart w:id="30"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 ([Anonymous, in review]),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(65% for medium effects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0"/>
    <w:bookmarkStart w:id="31"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The remaining variance points to stochastic colonization of discrete habitat patches</w:t>
      </w:r>
      <w:r>
        <w:t xml:space="preserve"> </w:t>
      </w:r>
      <w:r>
        <w:t xml:space="preserve">(</w:t>
      </w:r>
      <w:hyperlink w:anchor="ref-Laurance2002">
        <w:r>
          <w:rPr>
            <w:rStyle w:val="Hyperlink"/>
          </w:rPr>
          <w:t xml:space="preserve">Laurance et al., 2002</w:t>
        </w:r>
      </w:hyperlink>
      <w:r>
        <w:t xml:space="preserve">)</w:t>
      </w:r>
      <w:r>
        <w:t xml:space="preserve">. Volume-weighted null models detected no significant pairwise associations after FDR correction (Fig. S9), while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bookmarkEnd w:id="31"/>
    <w:bookmarkStart w:id="32" w:name="cafi-diversity-and-coral-condition"/>
    <w:p>
      <w:pPr>
        <w:pStyle w:val="Heading3"/>
      </w:pPr>
      <w:r>
        <w:t xml:space="preserve">CAFI diversity and coral condition</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55% power) further limits inferential leverage. The large residual variance in composition (91.5% unexplained by site and volume) means that much of the community variation driving any diversity-condition link arises from stochastic colonization history rather than deterministic size-dependent assembly.</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captures variation in branching architecture rather than species identity per se. Branch width nearly perfectly separates</w:t>
      </w:r>
      <w:r>
        <w:t xml:space="preserve"> </w:t>
      </w:r>
      <w:r>
        <w:rPr>
          <w:i/>
          <w:iCs/>
        </w:rPr>
        <w:t xml:space="preserve">P. grandis</w:t>
      </w:r>
      <w:r>
        <w:t xml:space="preserve"> </w:t>
      </w:r>
      <w:r>
        <w:t xml:space="preserve">(90% wide-branching) from the three tight-branching species (Table S15), and genetic species predicts CAFI richness (p = 0.007) and composition (PERMANOVA R² = 0.08, p = 0.001) but not total abundance (p = 0.24) after controlling for volume. Critically, the obligate mutualist</w:t>
      </w:r>
      <w:r>
        <w:t xml:space="preserve"> </w:t>
      </w:r>
      <w:r>
        <w:rPr>
          <w:i/>
          <w:iCs/>
        </w:rPr>
        <w:t xml:space="preserve">Trapezia</w:t>
      </w:r>
      <w:r>
        <w:t xml:space="preserve"> </w:t>
      </w:r>
      <w:r>
        <w:t xml:space="preserve">– the taxon most relevant to the diversity-condition link – did not differ among coral species (p = 0.51), suggesting that guard crabs colonize based on colony geometry rather than host identity. The companion study ([Anonymous, in review]) provides direct evidence for this mediation: haplotype effects on CAFI composition disappeared entirely when branching architecture was controlled (PERMANOVA p: 0.003 → 0.34), with haplotype contributing less than 1% unique variance after architecture. If architecture mediates the genotype-composition link, then conditioning on morphotype masks the pathway through which habitat structure generates diversity, and the absorption of the richness signal is expected rather than damning. Mediation analysis confirmed that the richness effect operates directly rather than through abundance (ACME p = 0.69; Table S12). 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2"/>
    <w:bookmarkStart w:id="33"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3"/>
    <w:bookmarkEnd w:id="34"/>
    <w:bookmarkStart w:id="35" w:name="acknowledgements"/>
    <w:p>
      <w:pPr>
        <w:pStyle w:val="Heading2"/>
      </w:pPr>
      <w:r>
        <w:t xml:space="preserve">Acknowledgements</w:t>
      </w:r>
    </w:p>
    <w:p>
      <w:pPr>
        <w:pStyle w:val="FirstParagraph"/>
      </w:pPr>
      <w:r>
        <w:t xml:space="preserve">[Removed for double-anonymized review]</w:t>
      </w:r>
    </w:p>
    <w:p>
      <w:r>
        <w:pict>
          <v:rect style="width:0;height:1.5pt" o:hralign="center" o:hrstd="t" o:hr="t"/>
        </w:pict>
      </w:r>
    </w:p>
    <w:bookmarkEnd w:id="35"/>
    <w:bookmarkStart w:id="36" w:name="author-contributions"/>
    <w:p>
      <w:pPr>
        <w:pStyle w:val="Heading2"/>
      </w:pPr>
      <w:r>
        <w:t xml:space="preserve">Author Contributions</w:t>
      </w:r>
    </w:p>
    <w:p>
      <w:pPr>
        <w:pStyle w:val="FirstParagraph"/>
      </w:pPr>
      <w:r>
        <w:t xml:space="preserve">[Removed for double-anonymized review]</w:t>
      </w:r>
    </w:p>
    <w:p>
      <w:r>
        <w:pict>
          <v:rect style="width:0;height:1.5pt" o:hralign="center" o:hrstd="t" o:hr="t"/>
        </w:pict>
      </w:r>
    </w:p>
    <w:bookmarkEnd w:id="36"/>
    <w:bookmarkStart w:id="37" w:name="conflict-of-interest"/>
    <w:p>
      <w:pPr>
        <w:pStyle w:val="Heading2"/>
      </w:pPr>
      <w:r>
        <w:t xml:space="preserve">Conflict of Interest</w:t>
      </w:r>
    </w:p>
    <w:p>
      <w:pPr>
        <w:pStyle w:val="FirstParagraph"/>
      </w:pPr>
      <w:r>
        <w:t xml:space="preserve">[Removed for double-anonymized review]</w:t>
      </w:r>
    </w:p>
    <w:p>
      <w:r>
        <w:pict>
          <v:rect style="width:0;height:1.5pt" o:hralign="center" o:hrstd="t" o:hr="t"/>
        </w:pict>
      </w:r>
    </w:p>
    <w:bookmarkEnd w:id="37"/>
    <w:bookmarkStart w:id="53"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39" name="Picture"/>
            <a:graphic>
              <a:graphicData uri="http://schemas.openxmlformats.org/drawingml/2006/picture">
                <pic:pic>
                  <pic:nvPicPr>
                    <pic:cNvPr descr="../output/figures/manuscript/fig1_study_design.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2" name="Picture"/>
            <a:graphic>
              <a:graphicData uri="http://schemas.openxmlformats.org/drawingml/2006/picture">
                <pic:pic>
                  <pic:nvPicPr>
                    <pic:cNvPr descr="../output/figures/manuscript/fig2_scaling.png" id="43" name="Picture"/>
                    <pic:cNvPicPr>
                      <a:picLocks noChangeArrowheads="1" noChangeAspect="1"/>
                    </pic:cNvPicPr>
                  </pic:nvPicPr>
                  <pic:blipFill>
                    <a:blip r:embed="rId41"/>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5" name="Picture"/>
            <a:graphic>
              <a:graphicData uri="http://schemas.openxmlformats.org/drawingml/2006/picture">
                <pic:pic>
                  <pic:nvPicPr>
                    <pic:cNvPr descr="../output/figures/manuscript/fig3_species_group_scaling.png" id="46" name="Picture"/>
                    <pic:cNvPicPr>
                      <a:picLocks noChangeArrowheads="1" noChangeAspect="1"/>
                    </pic:cNvPicPr>
                  </pic:nvPicPr>
                  <pic:blipFill>
                    <a:blip r:embed="rId44"/>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48" name="Picture"/>
            <a:graphic>
              <a:graphicData uri="http://schemas.openxmlformats.org/drawingml/2006/picture">
                <pic:pic>
                  <pic:nvPicPr>
                    <pic:cNvPr descr="../output/figures/manuscript/fig4_composition.png" id="49" name="Picture"/>
                    <pic:cNvPicPr>
                      <a:picLocks noChangeArrowheads="1" noChangeAspect="1"/>
                    </pic:cNvPicPr>
                  </pic:nvPicPr>
                  <pic:blipFill>
                    <a:blip r:embed="rId47"/>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1" name="Picture"/>
            <a:graphic>
              <a:graphicData uri="http://schemas.openxmlformats.org/drawingml/2006/picture">
                <pic:pic>
                  <pic:nvPicPr>
                    <pic:cNvPr descr="../output/figures/manuscript/fig5_feedbacks.png" id="52" name="Picture"/>
                    <pic:cNvPicPr>
                      <a:picLocks noChangeArrowheads="1" noChangeAspect="1"/>
                    </pic:cNvPicPr>
                  </pic:nvPicPr>
                  <pic:blipFill>
                    <a:blip r:embed="rId50"/>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3"/>
    <w:bookmarkStart w:id="107" w:name="references"/>
    <w:p>
      <w:pPr>
        <w:pStyle w:val="Heading2"/>
      </w:pPr>
      <w:r>
        <w:t xml:space="preserve">References</w:t>
      </w:r>
    </w:p>
    <w:bookmarkStart w:id="106" w:name="refs"/>
    <w:bookmarkStart w:id="55"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4">
        <w:r>
          <w:rPr>
            <w:rStyle w:val="Hyperlink"/>
          </w:rPr>
          <w:t xml:space="preserve">https://doi.org/10.2307/3038097</w:t>
        </w:r>
      </w:hyperlink>
    </w:p>
    <w:bookmarkEnd w:id="55"/>
    <w:bookmarkStart w:id="57"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6">
        <w:r>
          <w:rPr>
            <w:rStyle w:val="Hyperlink"/>
          </w:rPr>
          <w:t xml:space="preserve">https://doi.org/10.1016/j.jembe.2004.12.023</w:t>
        </w:r>
      </w:hyperlink>
    </w:p>
    <w:bookmarkEnd w:id="57"/>
    <w:bookmarkStart w:id="59"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58">
        <w:r>
          <w:rPr>
            <w:rStyle w:val="Hyperlink"/>
          </w:rPr>
          <w:t xml:space="preserve">https://doi.org/10.1016/0169-5347(94)90246-1</w:t>
        </w:r>
      </w:hyperlink>
    </w:p>
    <w:bookmarkEnd w:id="59"/>
    <w:bookmarkStart w:id="61"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0">
        <w:r>
          <w:rPr>
            <w:rStyle w:val="Hyperlink"/>
          </w:rPr>
          <w:t xml:space="preserve">https://doi.org/10.1002/ecy.3324</w:t>
        </w:r>
      </w:hyperlink>
    </w:p>
    <w:bookmarkEnd w:id="61"/>
    <w:bookmarkStart w:id="63"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2">
        <w:r>
          <w:rPr>
            <w:rStyle w:val="Hyperlink"/>
          </w:rPr>
          <w:t xml:space="preserve">https://doi.org/10.1007/BF00390685</w:t>
        </w:r>
      </w:hyperlink>
    </w:p>
    <w:bookmarkEnd w:id="63"/>
    <w:bookmarkStart w:id="65"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4">
        <w:r>
          <w:rPr>
            <w:rStyle w:val="Hyperlink"/>
          </w:rPr>
          <w:t xml:space="preserve">https://doi.org/10.1371/journal.pone.0208545</w:t>
        </w:r>
      </w:hyperlink>
    </w:p>
    <w:bookmarkEnd w:id="65"/>
    <w:bookmarkStart w:id="67"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66">
        <w:r>
          <w:rPr>
            <w:rStyle w:val="Hyperlink"/>
          </w:rPr>
          <w:t xml:space="preserve">https://doi.org/10.1007/s00338-018-1709-7</w:t>
        </w:r>
      </w:hyperlink>
    </w:p>
    <w:bookmarkEnd w:id="67"/>
    <w:bookmarkStart w:id="69"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68">
        <w:r>
          <w:rPr>
            <w:rStyle w:val="Hyperlink"/>
          </w:rPr>
          <w:t xml:space="preserve">https://doi.org/10.2307/5880</w:t>
        </w:r>
      </w:hyperlink>
    </w:p>
    <w:bookmarkEnd w:id="69"/>
    <w:bookmarkStart w:id="70"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0"/>
    <w:bookmarkStart w:id="72"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1">
        <w:r>
          <w:rPr>
            <w:rStyle w:val="Hyperlink"/>
          </w:rPr>
          <w:t xml:space="preserve">https://doi.org/10.1126/sciadv.1500052</w:t>
        </w:r>
      </w:hyperlink>
    </w:p>
    <w:bookmarkEnd w:id="72"/>
    <w:bookmarkStart w:id="74"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3">
        <w:r>
          <w:rPr>
            <w:rStyle w:val="Hyperlink"/>
          </w:rPr>
          <w:t xml:space="preserve">https://doi.org/10.1007/s12080-017-0352-1</w:t>
        </w:r>
      </w:hyperlink>
    </w:p>
    <w:bookmarkEnd w:id="74"/>
    <w:bookmarkStart w:id="76"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5">
        <w:r>
          <w:rPr>
            <w:rStyle w:val="Hyperlink"/>
          </w:rPr>
          <w:t xml:space="preserve">https://doi.org/10.1126/science.286.5442.1123</w:t>
        </w:r>
      </w:hyperlink>
    </w:p>
    <w:bookmarkEnd w:id="76"/>
    <w:bookmarkStart w:id="78"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77">
        <w:r>
          <w:rPr>
            <w:rStyle w:val="Hyperlink"/>
          </w:rPr>
          <w:t xml:space="preserve">https://doi.org/10.1007/s00227-008-1051-7</w:t>
        </w:r>
      </w:hyperlink>
    </w:p>
    <w:bookmarkEnd w:id="78"/>
    <w:bookmarkStart w:id="80"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79">
        <w:r>
          <w:rPr>
            <w:rStyle w:val="Hyperlink"/>
          </w:rPr>
          <w:t xml:space="preserve">https://doi.org/10.3354/meps030021</w:t>
        </w:r>
      </w:hyperlink>
    </w:p>
    <w:bookmarkEnd w:id="80"/>
    <w:bookmarkStart w:id="82"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1">
        <w:r>
          <w:rPr>
            <w:rStyle w:val="Hyperlink"/>
          </w:rPr>
          <w:t xml:space="preserve">https://doi.org/10.1111/mec.16556</w:t>
        </w:r>
      </w:hyperlink>
    </w:p>
    <w:bookmarkEnd w:id="82"/>
    <w:bookmarkStart w:id="84"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3">
        <w:r>
          <w:rPr>
            <w:rStyle w:val="Hyperlink"/>
          </w:rPr>
          <w:t xml:space="preserve">https://doi.org/10.1038/nature06970</w:t>
        </w:r>
      </w:hyperlink>
    </w:p>
    <w:bookmarkEnd w:id="84"/>
    <w:bookmarkStart w:id="86" w:name="ref-Laurance2002"/>
    <w:p>
      <w:pPr>
        <w:pStyle w:val="Bibliography"/>
      </w:pPr>
      <w:r>
        <w:t xml:space="preserve">Laurance, W. F., Lovejoy, T. E., Vasconcelos, H. L., Bruna, E. M., Didham, R. K., Stouffer, P. C., Gascon, C., Bierregaard, R. O., Laurance, S. G., &amp; Wilson, E. (2002). Ecosystem decay of</w:t>
      </w:r>
      <w:r>
        <w:t xml:space="preserve"> </w:t>
      </w:r>
      <w:r>
        <w:t xml:space="preserve">Amazonian</w:t>
      </w:r>
      <w:r>
        <w:t xml:space="preserve"> </w:t>
      </w:r>
      <w:r>
        <w:t xml:space="preserve">forest fragments: A 22-year investigation.</w:t>
      </w:r>
      <w:r>
        <w:t xml:space="preserve"> </w:t>
      </w:r>
      <w:r>
        <w:rPr>
          <w:i/>
          <w:iCs/>
        </w:rPr>
        <w:t xml:space="preserve">Conservation Biology</w:t>
      </w:r>
      <w:r>
        <w:t xml:space="preserve">,</w:t>
      </w:r>
      <w:r>
        <w:t xml:space="preserve"> </w:t>
      </w:r>
      <w:r>
        <w:rPr>
          <w:i/>
          <w:iCs/>
        </w:rPr>
        <w:t xml:space="preserve">16</w:t>
      </w:r>
      <w:r>
        <w:t xml:space="preserve">, 605–618.</w:t>
      </w:r>
      <w:r>
        <w:t xml:space="preserve"> </w:t>
      </w:r>
      <w:hyperlink r:id="rId85">
        <w:r>
          <w:rPr>
            <w:rStyle w:val="Hyperlink"/>
          </w:rPr>
          <w:t xml:space="preserve">https://doi.org/10.1046/j.1523-1739.2002.01025.x</w:t>
        </w:r>
      </w:hyperlink>
    </w:p>
    <w:bookmarkEnd w:id="86"/>
    <w:bookmarkStart w:id="88"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7">
        <w:r>
          <w:rPr>
            <w:rStyle w:val="Hyperlink"/>
          </w:rPr>
          <w:t xml:space="preserve">https://doi.org/10.1146/annurev.en.28.010183.000323</w:t>
        </w:r>
      </w:hyperlink>
    </w:p>
    <w:bookmarkEnd w:id="88"/>
    <w:bookmarkStart w:id="89"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89"/>
    <w:bookmarkStart w:id="91"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0">
        <w:r>
          <w:rPr>
            <w:rStyle w:val="Hyperlink"/>
          </w:rPr>
          <w:t xml:space="preserve">https://doi.org/10.1007/s00442-012-2275-2</w:t>
        </w:r>
      </w:hyperlink>
    </w:p>
    <w:bookmarkEnd w:id="91"/>
    <w:bookmarkStart w:id="93"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2">
        <w:r>
          <w:rPr>
            <w:rStyle w:val="Hyperlink"/>
          </w:rPr>
          <w:t xml:space="preserve">https://doi.org/10.1111/j.1365-2656.2005.00913.x</w:t>
        </w:r>
      </w:hyperlink>
    </w:p>
    <w:bookmarkEnd w:id="93"/>
    <w:bookmarkStart w:id="95"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4">
        <w:r>
          <w:rPr>
            <w:rStyle w:val="Hyperlink"/>
          </w:rPr>
          <w:t xml:space="preserve">https://doi.org/10.1371/journal.pone.0135928</w:t>
        </w:r>
      </w:hyperlink>
    </w:p>
    <w:bookmarkEnd w:id="95"/>
    <w:bookmarkStart w:id="97"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6">
        <w:r>
          <w:rPr>
            <w:rStyle w:val="Hyperlink"/>
          </w:rPr>
          <w:t xml:space="preserve">https://doi.org/10.1098/rsbl.2010.0291</w:t>
        </w:r>
      </w:hyperlink>
    </w:p>
    <w:bookmarkEnd w:id="97"/>
    <w:bookmarkStart w:id="99"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98">
        <w:r>
          <w:rPr>
            <w:rStyle w:val="Hyperlink"/>
          </w:rPr>
          <w:t xml:space="preserve">https://doi.org/10.1111/gcb.16000</w:t>
        </w:r>
      </w:hyperlink>
    </w:p>
    <w:bookmarkEnd w:id="99"/>
    <w:bookmarkStart w:id="101"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0">
        <w:r>
          <w:rPr>
            <w:rStyle w:val="Hyperlink"/>
          </w:rPr>
          <w:t xml:space="preserve">https://doi.org/10.1007/s00442-013-2858-6</w:t>
        </w:r>
      </w:hyperlink>
    </w:p>
    <w:bookmarkEnd w:id="101"/>
    <w:bookmarkStart w:id="103"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2">
        <w:r>
          <w:rPr>
            <w:rStyle w:val="Hyperlink"/>
          </w:rPr>
          <w:t xml:space="preserve">https://doi.org/10.1371/journal.pone.0032079</w:t>
        </w:r>
      </w:hyperlink>
    </w:p>
    <w:bookmarkEnd w:id="103"/>
    <w:bookmarkStart w:id="105"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4">
        <w:r>
          <w:rPr>
            <w:rStyle w:val="Hyperlink"/>
          </w:rPr>
          <w:t xml:space="preserve">https://doi.org/10.1890/09-1993.1</w:t>
        </w:r>
      </w:hyperlink>
    </w:p>
    <w:bookmarkEnd w:id="105"/>
    <w:bookmarkEnd w:id="106"/>
    <w:p>
      <w:r>
        <w:pict>
          <v:rect style="width:0;height:1.5pt" o:hralign="center" o:hrstd="t" o:hr="t"/>
        </w:pict>
      </w:r>
    </w:p>
    <w:bookmarkEnd w:id="107"/>
    <w:bookmarkStart w:id="108"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(14 supplementary figures, 15 supplementary tables, supplementary methods).</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2026-03-23T22:17:06Z</dcterms:created>
  <dcterms:modified xsi:type="dcterms:W3CDTF">2026-03-23T22:17:06Z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