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2"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determines per-unit occupant density and, where the habitat is itself a living organism, the strength of occupant–host feedbacks. Residents of biogenic habitats alter host growth, survival, and condition through predator defense (Glynn 1983), nutrient processing (Meyer &amp; Schultz 1985), feeding (Silliman et al. 2005), and interactions with co-residents (Angelini et al. 2011). Per-unit occupant density therefore governs the intensity of these interactions, linking habitat configuration to habitat condition. In ecosystems structured by foundation species – trees, corals, kelps, oysters – the scaling regime shapes both community structure and host condition (Dayton 1972; MacArthur &amp; Wilson 1967), yet empirical tests of how scaling translates through community assembly to habitat condition remain scarce (Hamman et al. 2018; Moeller et al. 2023). Understanding these feedbacks is essential for predicting ecosystem trajectories under habitat loss, and for restoration practitioners who manipulate foundation species to enhance recovery.</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and the outcome depends on colonist longevity, density-dependent mortality, and migration frequency (Hamman et al. 2018). 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Which regime prevails thus shapes whether habitat loss restructures occupant communities in ways that accelerate or buffer further decline (Rennick et al. 2022).</w:t>
      </w:r>
    </w:p>
    <w:p>
      <w:pPr>
        <w:pStyle w:val="BodyText"/>
      </w:pPr>
      <w:r>
        <w:t xml:space="preserve">But density is not the whole story. If sublinear scaling forces occupant communities to diversify rather than simply accumulate – adding new species rather than more conspecifics – then habitat size determines not just how many occupants a patch supports but which ones. And if different occupants have different effects on their host – defenders versus corallivores, nutrient subsidizers versus tissue consumers – then the scaling regime determines the net effect of the occupant community on habitat condition. No study has tested this full chain, from habitat quantity through compositional turnover to habitat condition, in a biogenic habitat system.</w:t>
      </w:r>
    </w:p>
    <w:p>
      <w:pPr>
        <w:pStyle w:val="BodyText"/>
      </w:pPr>
      <w:r>
        <w:t xml:space="preserve">Colony architecture – branching geometry, interstitial space, microhabitat complexity – may add a further dimension. If occupants colonize based on physical habitat structure rather than host identity, then variation in architecture filters community composition independently of habitat quantity. For branching corals, whose cryptic species complex encompasses lineages that differ substantially in branch spacing and colony form (</w:t>
      </w:r>
      <w:r>
        <w:t xml:space="preserve">Johnston et al. (</w:t>
      </w:r>
      <w:hyperlink w:anchor="ref-JohnstonCunningBurgess2022">
        <w:r>
          <w:rPr>
            <w:rStyle w:val="Hyperlink"/>
          </w:rPr>
          <w:t xml:space="preserve">2022</w:t>
        </w:r>
      </w:hyperlink>
      <w:r>
        <w:t xml:space="preserve">)</w:t>
      </w:r>
      <w:r>
        <w:t xml:space="preserve">;</w:t>
      </w:r>
      <w:r>
        <w:t xml:space="preserve"> </w:t>
      </w:r>
      <w:r>
        <w:t xml:space="preserve">Burgess et al. (</w:t>
      </w:r>
      <w:hyperlink w:anchor="ref-Burgess2021">
        <w:r>
          <w:rPr>
            <w:rStyle w:val="Hyperlink"/>
          </w:rPr>
          <w:t xml:space="preserve">2021</w:t>
        </w:r>
      </w:hyperlink>
      <w:r>
        <w:t xml:space="preserve">)</w:t>
      </w:r>
      <w:r>
        <w:t xml:space="preserve">), this raises the question of whether habitat identity shapes occupant communities beyond what habitat area alone predicts – and whether the architecture that mediates this filtering also mediates the link between community composition and host condition.</w:t>
      </w:r>
    </w:p>
    <w:p>
      <w:pPr>
        <w:pStyle w:val="BodyText"/>
      </w:pPr>
      <w:r>
        <w:t xml:space="preserve">Branching corals in the genus</w:t>
      </w:r>
      <w:r>
        <w:t xml:space="preserve"> </w:t>
      </w:r>
      <w:r>
        <w:rPr>
          <w:i/>
          <w:iCs/>
        </w:rPr>
        <w:t xml:space="preserve">Pocillopora</w:t>
      </w:r>
      <w:r>
        <w:t xml:space="preserve"> </w:t>
      </w:r>
      <w:r>
        <w:t xml:space="preserve">offer a tractable model for testing these ideas.</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spp.) defend corals from predatory sea stars and remove sediment (Glynn 1983; Stier et al. 2012), snapping shrimp (</w:t>
      </w:r>
      <w:r>
        <w:rPr>
          <w:i/>
          <w:iCs/>
        </w:rPr>
        <w:t xml:space="preserve">Alpheus</w:t>
      </w:r>
      <w:r>
        <w:t xml:space="preserve"> </w:t>
      </w:r>
      <w:r>
        <w:t xml:space="preserve">spp.) deter predators, coral-dwelling fishes subsidize host nutrition through ammonia-rich excretion (Holbrook et al. 2008; Shantz et al. 2023), and corallivorous gastropods consume tissue and facilitate disease (Boucher 1986; Nicolet et al. 2013). Because many CAFI are obligate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Species stacking generates a compositional prediction distinct from passive sampling: small-coral faunas should not be nested subsets of large-coral faunas, and colony volume should structure the identity of occupants, not just their number. CAFI abundance increases with colony volume but less than proportionally across coral genera and reef systems (Gotelli &amp; Abele 1985; Curtis et al. 2023; Harborne et al. 2011; Brush et al. 2026), and a companion experiment manipulating coral density found proportional scaling during active colonization but sublinear scaling in established communities (Stier et al. in review), suggesting that post-settlement processes shift the scaling regime as communities mature.</w:t>
      </w:r>
    </w:p>
    <w:p>
      <w:pPr>
        <w:pStyle w:val="BodyText"/>
      </w:pPr>
      <w:r>
        <w:t xml:space="preserve">Here, we survey 114</w:t>
      </w:r>
      <w:r>
        <w:t xml:space="preserve"> </w:t>
      </w:r>
      <w:r>
        <w:rPr>
          <w:i/>
          <w:iCs/>
        </w:rPr>
        <w:t xml:space="preserve">Pocillopora</w:t>
      </w:r>
      <w:r>
        <w:t xml:space="preserve"> </w:t>
      </w:r>
      <w:r>
        <w:t xml:space="preserve">colonies spanning three orders of magnitude in volume across three reef habitats on Mo’orea, French Polynesia, cataloging 3,989 individuals from 243 taxa to test three linked predictions. First, we predicted that CAFI abundance scales sublinearly with colony volume, consistent with Propagule Redirection, and that the raw species–area relationship reflects passive sampling rather than active species accumulation. If scaling is sublinear, species stacking predicts that composition should turn over – not merely accumulate – along the size gradient. We therefore predicted, second, that CAFI composition changes through species replacement rather than nestedness, with colony volume and host architecture structuring occupant identity beyond abundance alone. Third, we predicted that the resulting community variation covaries with coral condition: if functionally distinct residents – guard crabs, nutrient-subsidizing fishes, corallivorous gastropods – contribute complementary services, then diversity should predict condition beyond what abundance alone explains.</w:t>
      </w:r>
    </w:p>
    <w:p>
      <w:pPr>
        <w:pStyle w:val="BodyText"/>
      </w:pPr>
      <w:r>
        <w:t xml:space="preserve">Together, these predictions trace a chain from habitat quantity through density dilution and community assembly to habitat condition. If density dilution leaves large colonies with proportionally fewer mutualists and proportionally more antagonists, this chain has direct consequences wherever habitat loss or climate stress restructures the occupant communities that sustain biogenic habitats – a prediction made more urgent by the size-dependent vulnerability of large habitat-forming organisms to thermal stress (Speare et al. 2022), and as relevant to oyster reefs and forest canopies as to coral branches.</w:t>
      </w:r>
    </w:p>
    <w:p>
      <w:r>
        <w:pict>
          <v:rect style="width:0;height:1.5pt" o:hralign="center" o:hrstd="t" o:hr="t"/>
        </w:pict>
      </w:r>
    </w:p>
    <w:bookmarkEnd w:id="10"/>
    <w:bookmarkStart w:id="26"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(missingness was predicted by site but not by volume, richness, or abundance; Table S14). Position measurements were unavailable for 10 Maharepa colonies, reducing site balance in the BEF subsample.</w:t>
      </w:r>
    </w:p>
    <w:bookmarkEnd w:id="14"/>
    <w:bookmarkStart w:id="25"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p>
      <w:pPr>
        <w:pStyle w:val="BodyText"/>
      </w:pPr>
      <w:r>
        <w:t xml:space="preserve">To test whether community variability changes with coral size, we computed multivariate dispersion (distance to group centroid in Bray–Curtis space; vegan::betadisper) within volume terciles (Small, Medium, Large). Decreasing dispersion with size indicates compositional convergence (deterministic filtering); increasing dispersion indicates divergence (priority effects or historical contingency). We tested for differences using ANOVA on distances to centroid and assessed monotonic trends using Spearman rank correlation. We extended the variance partitioning to three predictor sets: [E] coral size (log volume), [A] host architecture (branch width and genetic species identity from mtORF haplotype), and [S] space (site), using vegan::varpart on Bray–Curtis dissimilarities. Each fraction’s significance was tested by db-RDA with 999 permutations.</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Xbf0ecd56cd4ac52bd7d9b7fa33f43b58203b041"/>
    <w:p>
      <w:pPr>
        <w:pStyle w:val="Heading4"/>
      </w:pPr>
      <w:r>
        <w:t xml:space="preserve">Host species identity and CAFI associations (Supplement)</w:t>
      </w:r>
    </w:p>
    <w:p>
      <w:pPr>
        <w:pStyle w:val="FirstParagraph"/>
      </w:pPr>
      <w:r>
        <w:t xml:space="preserve">We tested whether coral genetic species identity predicts CAFI community structure beyond colony size and site effects. Of 114 colonies, 101 were successfully genotyped (11 PCR failures, 2 missing samples). After excluding the single</w:t>
      </w:r>
      <w:r>
        <w:t xml:space="preserve"> </w:t>
      </w:r>
      <w:r>
        <w:rPr>
          <w:i/>
          <w:iCs/>
        </w:rPr>
        <w:t xml:space="preserve">P. acuta</w:t>
      </w:r>
      <w:r>
        <w:t xml:space="preserve"> </w:t>
      </w:r>
      <w:r>
        <w:t xml:space="preserve">and 2 colonies lacking volume measurements, 98 colonies representing four species remained for analysis.</w:t>
      </w:r>
    </w:p>
    <w:p>
      <w:pPr>
        <w:pStyle w:val="BodyText"/>
      </w:pPr>
      <w:r>
        <w:t xml:space="preserve">We tested species effects on CAFI composition using marginal PERMANOVA (Bray–Curtis, 999 permutations) with poc_species, log(volume), and site as predictors. Pairwise PERMANOVA between all six species pairs used FDR-corrected p-values (Table S16). We partitioned community variation among three predictor sets – coral species identity, log(volume), and site – using vegan::varpart on Hellinger-transformed abundances and tested each fraction by db-RDA (999 permutations). A second partition replaced species with branch width to assess whether architecture mediates genotype effects on composition (Table S17).</w:t>
      </w:r>
    </w:p>
    <w:p>
      <w:pPr>
        <w:pStyle w:val="BodyText"/>
      </w:pPr>
      <w:r>
        <w:t xml:space="preserve">To identify individual CAFI taxa associated with host species, we screened 52 OTUs present in ≥5 corals using negative binomial GLMs (OTU abundance ~ poc_species + log(volume) + site) with FDR correction across all tests. For OTUs showing significant species effects, we tested whether adding branch width eliminated the species term, classifying responses as architecture-mediated or genuine genotype effects (Table S18; Fig. S12). We identified indicator OTUs for each coral species using indicspecies::multipatt (IndVal.g index; 999 permutations) and computed a host specificity index as Simpson’s diversity of host usage against a null expectation from 999 randomizations shuffling CAFI across corals (Table S19; Fig. S13).</w:t>
      </w:r>
    </w:p>
    <w:p>
      <w:pPr>
        <w:pStyle w:val="BodyText"/>
      </w:pPr>
      <w:r>
        <w:t xml:space="preserve">We tested whether coral branch architecture mediates host species effects on</w:t>
      </w:r>
      <w:r>
        <w:t xml:space="preserve"> </w:t>
      </w:r>
      <w:r>
        <w:rPr>
          <w:i/>
          <w:iCs/>
        </w:rPr>
        <w:t xml:space="preserve">Trapezia</w:t>
      </w:r>
      <w:r>
        <w:t xml:space="preserve"> </w:t>
      </w:r>
      <w:r>
        <w:t xml:space="preserve">body size using a linear mixed model (carapace width ~ branch_width + poc_species + (1|coral_id)), controlling for crab species identity. We assessed the</w:t>
      </w:r>
      <w:r>
        <w:t xml:space="preserve"> </w:t>
      </w:r>
      <w:r>
        <w:rPr>
          <w:i/>
          <w:iCs/>
        </w:rPr>
        <w:t xml:space="preserve">Trapezia</w:t>
      </w:r>
      <w:r>
        <w:t xml:space="preserve"> </w:t>
      </w:r>
      <w:r>
        <w:t xml:space="preserve">species × branch architecture association using a chi-square contingency test and tested character displacement of</w:t>
      </w:r>
      <w:r>
        <w:t xml:space="preserve"> </w:t>
      </w:r>
      <w:r>
        <w:rPr>
          <w:i/>
          <w:iCs/>
        </w:rPr>
        <w:t xml:space="preserve">T. serenei</w:t>
      </w:r>
      <w:r>
        <w:t xml:space="preserve"> </w:t>
      </w:r>
      <w:r>
        <w:t xml:space="preserve">body size (alone vs. with co-occurring congeners) using a Wilcoxon rank-sum test (Fig. S14).</w:t>
      </w:r>
    </w:p>
    <w:bookmarkEnd w:id="21"/>
    <w:bookmarkStart w:id="22" w:name="community-assembly-supplement"/>
    <w:p>
      <w:pPr>
        <w:pStyle w:val="Heading4"/>
      </w:pPr>
      <w:r>
        <w:t xml:space="preserve">Community assembly (Supplement)</w:t>
      </w:r>
    </w:p>
    <w:p>
      <w:pPr>
        <w:pStyle w:val="FirstParagraph"/>
      </w:pPr>
      <w:r>
        <w:t xml:space="preserve">We quantified the balance between deterministic and stochastic assembly using the Raup–Crick metric (vegan::raupcrick; 999 iterations; Chase et al. 2011). Raup–Crick values near 0.5 indicate stochastic assembly; values significantly below 0.5 indicate communities more similar than expected (environmental filtering); values above 0.5 indicate greater-than-expected dissimilarity. We tested whether co-occurring CAFI are more or less taxonomically related than expected using standardized effect sizes of mean pairwise distance (SES.MPD, equivalent to the Net Relatedness Index) and mean nearest taxon distance (SES.MNTD, equivalent to the Nearest Taxon Index; picante::ses.mpd, ses.mntd; 999 randomizations using the</w:t>
      </w:r>
      <w:r>
        <w:t xml:space="preserve"> </w:t>
      </w:r>
      <w:r>
        <w:t xml:space="preserve">‘taxa.labels’</w:t>
      </w:r>
      <w:r>
        <w:t xml:space="preserve"> </w:t>
      </w:r>
      <w:r>
        <w:t xml:space="preserve">null model). Taxonomic distances were computed from the hierarchical classification (type &gt; family &gt; genus &gt; species) using UPGMA clustering (ape::as.phylo). We tested for distance-decay of community similarity using Mantel tests (Bray–Curtis dissimilarity vs. geographic distance; Spearman correlation; 9,999 permutations) on the 57 colonies with GPS coordinates, with a partial Mantel controlling for coral size.</w:t>
      </w:r>
    </w:p>
    <w:bookmarkEnd w:id="22"/>
    <w:bookmarkStart w:id="23"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3"/>
    <w:bookmarkStart w:id="24"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4"/>
    <w:bookmarkEnd w:id="25"/>
    <w:bookmarkEnd w:id="26"/>
    <w:bookmarkStart w:id="31" w:name="results"/>
    <w:p>
      <w:pPr>
        <w:pStyle w:val="Heading2"/>
      </w:pPr>
      <w:r>
        <w:t xml:space="preserve">Results</w:t>
      </w:r>
    </w:p>
    <w:bookmarkStart w:id="27"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(rarefied richness vs.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p>
      <w:pPr>
        <w:pStyle w:val="BodyText"/>
      </w:pPr>
      <w:r>
        <w:t xml:space="preserve">Beyond shaping how many species a colony hosts, colony size also structures which species are present.</w:t>
      </w:r>
    </w:p>
    <w:bookmarkEnd w:id="27"/>
    <w:bookmarkStart w:id="29" w:name="Xcb6d5a45f16b1978bd030ce923bb5df44c89a11"/>
    <w:p>
      <w:pPr>
        <w:pStyle w:val="Heading3"/>
      </w:pPr>
      <w:r>
        <w:t xml:space="preserve">Q2: Site pools and coral size structure community composition</w:t>
      </w:r>
    </w:p>
    <w:p>
      <w:pPr>
        <w:pStyle w:val="FirstParagraph"/>
      </w:pPr>
      <w:r>
        <w:t xml:space="preserve">Species accumulation curves approached asymptotic richness at all three sites (Fig. S1), indicating adequate sampling coverage. 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Because</w:t>
      </w:r>
      <w:r>
        <w:t xml:space="preserve"> </w:t>
      </w:r>
      <w:r>
        <w:rPr>
          <w:i/>
          <w:iCs/>
        </w:rPr>
        <w:t xml:space="preserve">Pocillopora</w:t>
      </w:r>
      <w:r>
        <w:t xml:space="preserve"> </w:t>
      </w:r>
      <w:r>
        <w:t xml:space="preserve">comprises multiple cryptic species with distinct branching architectures, we tested whether host species identity contributes to compositional variation beyond colony size (Supplementary Methods). Coral genetic species predicted CAFI richness (p = 0.007) and composition (PERMANOVA R² = 0.08, p = 0.001) but not total abundance (p = 0.24; Table S16). Three-way variance partitioning attributed comparable unique variation to host architecture (5.6%) and colony volume (4.6%), both exceeding site (2.9%; Table S16).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w:t>
      </w:r>
      <w:r>
        <w:t xml:space="preserve"> </w:t>
      </w:r>
      <w:r>
        <w:rPr>
          <w:i/>
          <w:iCs/>
        </w:rPr>
        <w:t xml:space="preserve">Trapezia</w:t>
      </w:r>
      <w:r>
        <w:t xml:space="preserve"> </w:t>
      </w:r>
      <w:r>
        <w:t xml:space="preserve">did not differ among coral species (p = 0.51), suggesting that guard crabs colonize based on colony geometry rather than host identity (Tables S17–S18; Figs. S12–S13).</w:t>
      </w:r>
    </w:p>
    <w:bookmarkStart w:id="28"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8"/>
    <w:bookmarkEnd w:id="29"/>
    <w:bookmarkStart w:id="30"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(rarefied richness vs. condition: p = 0.50, n = 47; minimum detectable R² = 0.15 at 80% power; Fig. S8). No exploratory predictor survived FDR correction (Table S2), and reverse-direction tests were non-significant (Fig. S11C; Table S2).</w:t>
      </w:r>
    </w:p>
    <w:bookmarkEnd w:id="30"/>
    <w:bookmarkEnd w:id="31"/>
    <w:bookmarkStart w:id="36" w:name="discussion"/>
    <w:p>
      <w:pPr>
        <w:pStyle w:val="Heading2"/>
      </w:pPr>
      <w:r>
        <w:t xml:space="preserve">Discussion</w:t>
      </w:r>
    </w:p>
    <w:p>
      <w:pPr>
        <w:pStyle w:val="FirstParagraph"/>
      </w:pPr>
      <w:r>
        <w:t xml:space="preserve">Finite colonist pools, not habitat capacity, limit how many occupants a coral colony accumulates – and this constraint cascades through community assembly to coral condition. Abundance scales sublinearly with colony volume and per-capita density dilutes as corals grow (Q1), composition turns over rather than nesting along the size gradient (Q2), and the resulting community variation covaries with coral condition (Q3; Figs. 2, 4, 5).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 Because our cross-sectional design documents associations at each link but cannot establish causality, the chain remains correlational; we flag interpretive ambiguities at each step below.</w:t>
      </w:r>
    </w:p>
    <w:bookmarkStart w:id="32"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(Table S7).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But density dilution is not the whole story. Sublinear scaling predicts not only fewer occupants per unit volume but also different species on different-sized hosts – and if composition changes predictably, so may the services that occupants provide.</w:t>
      </w:r>
    </w:p>
    <w:bookmarkEnd w:id="32"/>
    <w:bookmarkStart w:id="33"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leaving a large role for host identity and stochastic colonization. Three-way variance partitioning attributes more unique compositional variation to host architecture – branch width and genetic species identity (5.6%) – than to colony volume (4.6%) or site (2.9%) alone (Table S16), indicating that habitat identity, not merely habitat area, structures these communities. Architecture mediates host genotype effects on occupant identity: corallivores such as</w:t>
      </w:r>
      <w:r>
        <w:t xml:space="preserve"> </w:t>
      </w:r>
      <w:r>
        <w:rPr>
          <w:i/>
          <w:iCs/>
        </w:rPr>
        <w:t xml:space="preserve">Galeropsis monodonta</w:t>
      </w:r>
      <w:r>
        <w:t xml:space="preserve"> </w:t>
      </w:r>
      <w:r>
        <w:t xml:space="preserve">track host species directly (7-fold enrichment on</w:t>
      </w:r>
      <w:r>
        <w:t xml:space="preserve"> </w:t>
      </w:r>
      <w:r>
        <w:rPr>
          <w:i/>
          <w:iCs/>
        </w:rPr>
        <w:t xml:space="preserve">P. verrucosa</w:t>
      </w:r>
      <w:r>
        <w:t xml:space="preserve">), while obligate mutualists colonize based on colony geometry rather than host identity. Within shared corals,</w:t>
      </w:r>
      <w:r>
        <w:t xml:space="preserve"> </w:t>
      </w:r>
      <w:r>
        <w:rPr>
          <w:i/>
          <w:iCs/>
        </w:rPr>
        <w:t xml:space="preserve">Trapezia</w:t>
      </w:r>
      <w:r>
        <w:t xml:space="preserve"> </w:t>
      </w:r>
      <w:r>
        <w:t xml:space="preserve">species partition by body size – larger-bodied</w:t>
      </w:r>
      <w:r>
        <w:t xml:space="preserve"> </w:t>
      </w:r>
      <w:r>
        <w:rPr>
          <w:i/>
          <w:iCs/>
        </w:rPr>
        <w:t xml:space="preserve">T. flavopunctata</w:t>
      </w:r>
      <w:r>
        <w:t xml:space="preserve"> </w:t>
      </w:r>
      <w:r>
        <w:t xml:space="preserve">dominating wide-branched colonies, smaller</w:t>
      </w:r>
      <w:r>
        <w:t xml:space="preserve"> </w:t>
      </w:r>
      <w:r>
        <w:rPr>
          <w:i/>
          <w:iCs/>
        </w:rPr>
        <w:t xml:space="preserve">T. serenei</w:t>
      </w:r>
      <w:r>
        <w:t xml:space="preserve"> </w:t>
      </w:r>
      <w:r>
        <w:t xml:space="preserve">narrower ones (Fig. S14) – consistent with character displacement that strengthens species stacking along the architectural gradient.</w:t>
      </w:r>
    </w:p>
    <w:p>
      <w:pPr>
        <w:pStyle w:val="BodyText"/>
      </w:pPr>
      <w:r>
        <w:t xml:space="preserve">Co-occurrence patterns reinforce this picture of constrained assembly within a stochastic backdrop. Volume-weighted null models detected no significant pairwise associations after FDR correction (Fig. S9), yet six species showed significant mating-pair aggregation, concentrating conspecific pairs on a subset of corals. The resulting non-random mosaic of well-defended and poorly-defended colonies – arising from pair-aggregation against a largely stochastic background – creates the among-colony variation in functional composition on which any diversity-condition relationship depends.</w:t>
      </w:r>
    </w:p>
    <w:p>
      <w:pPr>
        <w:pStyle w:val="BodyText"/>
      </w:pPr>
      <w:r>
        <w:t xml:space="preserve">The decline in beta-dispersion from small to large corals adds a temporal dimension to the assembly picture. Raup–Crick null-model analysis confirmed that communities were more similar than expected under stochastic assembly (Fig. S16; Table S20), and taxonomic overdispersion further supported deterministic filtering (Fig. S17). If colony size proxies community age – larger colonies having had longer for post-settlement sorting – then communities progress from stochastic early colonization toward deterministic convergence, a trajectory predicted by metacommunity theory for habitat patches above a threshold size</w:t>
      </w:r>
      <w:r>
        <w:t xml:space="preserve"> </w:t>
      </w:r>
      <w:r>
        <w:t xml:space="preserve">(</w:t>
      </w:r>
      <w:hyperlink w:anchor="ref-Chase2011">
        <w:r>
          <w:rPr>
            <w:rStyle w:val="Hyperlink"/>
          </w:rPr>
          <w:t xml:space="preserve">J. M. Chase et al., 2011</w:t>
        </w:r>
      </w:hyperlink>
      <w:r>
        <w:t xml:space="preserve">)</w:t>
      </w:r>
      <w:r>
        <w:t xml:space="preserve">. This convergence makes the diversity-condition relationship (Q3) mechanistically coherent: complementarity requires repeatable species combinations, not random assemblages, and the predictable communities that emerge on large corals provide exactly the stable functional backdrop on which diversity effects can operate.</w:t>
      </w:r>
    </w:p>
    <w:bookmarkEnd w:id="33"/>
    <w:bookmarkStart w:id="34" w:name="cafi-diversity-and-coral-condition"/>
    <w:p>
      <w:pPr>
        <w:pStyle w:val="Heading3"/>
      </w:pPr>
      <w:r>
        <w:t xml:space="preserve">CAFI diversity and coral condition</w:t>
      </w:r>
    </w:p>
    <w:p>
      <w:pPr>
        <w:pStyle w:val="FirstParagraph"/>
      </w:pPr>
      <w:r>
        <w:t xml:space="preserve">Species richness positively predicted coral condition (p = 0.018), consistent with BEF complementarity among functionally distinct residents. The association is modest (adjusted R² = 0.04), and richness shares 70.8% of its explanatory power with abundance – unsurprising given the tight richness-abundance coupling that sublinear scaling produces. Rarefied richness showed no relationship (Fig. S8), but this null is ambiguous: if diversity enhances condition partly through total occupancy – more species meaning more defenders, more nutrient subsidizers, and fewer empty niches – then rarefaction strips the mechanism along with the confound.</w:t>
      </w:r>
    </w:p>
    <w:p>
      <w:pPr>
        <w:pStyle w:val="BodyText"/>
      </w:pPr>
      <w:r>
        <w:t xml:space="preserve">Three lines of evidence favor complementarity over a pure abundance pathway. Variance partitioning attributes 30x more unique explanatory power to richness than to abundance (Fig. S10A). The path model estimates a larger richness-to-condition coefficient (Fig. S10C). And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driving the signal; effect directions for functional groups and individual species were broadly concordant with the companion experiment (Table S3). Mediation analysis confirmed that the richness effect operates directly rather than through abundance (ACME p = 0.69; Table S12). The equally parsimonious counter-interpretation – that richness simply proxies total occupancy – cannot be excluded with observational data alone.</w:t>
      </w:r>
    </w:p>
    <w:p>
      <w:pPr>
        <w:pStyle w:val="BodyText"/>
      </w:pPr>
      <w:r>
        <w:t xml:space="preserve">The morphotype result initially appears to undermine the diversity-condition link, but disentangling architecture from species identity reverses the interpretation. Adding coral morphotype as a covariate absorbed the richness signal (Table S13), yet adding genetic species identity (mtORF haplotype) did not (p = 0.010; Table S15). This asymmetry arises because field morphotype captures branching architecture – which mediates the genotype-to-composition pathway – rather than species identity per se (Supplementary Methods; Tables S15–S16). The companion study</w:t>
      </w:r>
      <w:r>
        <w:t xml:space="preserve"> </w:t>
      </w:r>
      <w:r>
        <w:t xml:space="preserve">(</w:t>
      </w:r>
      <w:hyperlink w:anchor="ref-StierInReview">
        <w:r>
          <w:rPr>
            <w:rStyle w:val="Hyperlink"/>
          </w:rPr>
          <w:t xml:space="preserve">Stier et al., in review</w:t>
        </w:r>
      </w:hyperlink>
      <w:r>
        <w:t xml:space="preserve">)</w:t>
      </w:r>
      <w:r>
        <w:t xml:space="preserve"> </w:t>
      </w:r>
      <w:r>
        <w:t xml:space="preserve">confirms this mediation: haplotype effects on composition disappeared when architecture was controlled. The absorption of the richness signal by morphotype therefore reflects the pathway through which habitat structure generates diversity, not a confound that invalidates the BEF relationship.</w:t>
      </w:r>
    </w:p>
    <w:p>
      <w:pPr>
        <w:pStyle w:val="BodyText"/>
      </w:pPr>
      <w:r>
        <w:t xml:space="preserve">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T. J. 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r>
        <w:t xml:space="preserve"> </w:t>
      </w:r>
      <w:r>
        <w:rPr>
          <w:i/>
          <w:iCs/>
        </w:rPr>
        <w:t xml:space="preserve">Galeropsis monodonta’s</w:t>
      </w:r>
      <w:r>
        <w:t xml:space="preserve"> </w:t>
      </w:r>
      <w:r>
        <w:t xml:space="preserve">positive association with condition despite being a corallivore likely reflects reverse causation – healthier corals sustaining larger corallivore populations. If even a weak diversity-condition link operates,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4"/>
    <w:bookmarkStart w:id="35"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5"/>
    <w:bookmarkEnd w:id="36"/>
    <w:bookmarkStart w:id="37"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8"/>
    <w:bookmarkStart w:id="39"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9"/>
    <w:bookmarkStart w:id="55"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41" name="Picture"/>
            <a:graphic>
              <a:graphicData uri="http://schemas.openxmlformats.org/drawingml/2006/picture">
                <pic:pic>
                  <pic:nvPicPr>
                    <pic:cNvPr descr="../output/figures/manuscript/fig1_study_design.png" id="42" name="Picture"/>
                    <pic:cNvPicPr>
                      <a:picLocks noChangeArrowheads="1" noChangeAspect="1"/>
                    </pic:cNvPicPr>
                  </pic:nvPicPr>
                  <pic:blipFill>
                    <a:blip r:embed="rId4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4" name="Picture"/>
            <a:graphic>
              <a:graphicData uri="http://schemas.openxmlformats.org/drawingml/2006/picture">
                <pic:pic>
                  <pic:nvPicPr>
                    <pic:cNvPr descr="../output/figures/manuscript/fig2_scaling.png" id="45" name="Picture"/>
                    <pic:cNvPicPr>
                      <a:picLocks noChangeArrowheads="1" noChangeAspect="1"/>
                    </pic:cNvPicPr>
                  </pic:nvPicPr>
                  <pic:blipFill>
                    <a:blip r:embed="rId43"/>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7" name="Picture"/>
            <a:graphic>
              <a:graphicData uri="http://schemas.openxmlformats.org/drawingml/2006/picture">
                <pic:pic>
                  <pic:nvPicPr>
                    <pic:cNvPr descr="../output/figures/manuscript/fig3_species_group_scaling.png" id="48" name="Picture"/>
                    <pic:cNvPicPr>
                      <a:picLocks noChangeArrowheads="1" noChangeAspect="1"/>
                    </pic:cNvPicPr>
                  </pic:nvPicPr>
                  <pic:blipFill>
                    <a:blip r:embed="rId46"/>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50" name="Picture"/>
            <a:graphic>
              <a:graphicData uri="http://schemas.openxmlformats.org/drawingml/2006/picture">
                <pic:pic>
                  <pic:nvPicPr>
                    <pic:cNvPr descr="../output/figures/manuscript/fig4_composition.png" id="51" name="Picture"/>
                    <pic:cNvPicPr>
                      <a:picLocks noChangeArrowheads="1" noChangeAspect="1"/>
                    </pic:cNvPicPr>
                  </pic:nvPicPr>
                  <pic:blipFill>
                    <a:blip r:embed="rId49"/>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3" name="Picture"/>
            <a:graphic>
              <a:graphicData uri="http://schemas.openxmlformats.org/drawingml/2006/picture">
                <pic:pic>
                  <pic:nvPicPr>
                    <pic:cNvPr descr="../output/figures/manuscript/fig5_feedbacks.png" id="54" name="Picture"/>
                    <pic:cNvPicPr>
                      <a:picLocks noChangeArrowheads="1" noChangeAspect="1"/>
                    </pic:cNvPicPr>
                  </pic:nvPicPr>
                  <pic:blipFill>
                    <a:blip r:embed="rId52"/>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5"/>
    <w:bookmarkStart w:id="110" w:name="references"/>
    <w:p>
      <w:pPr>
        <w:pStyle w:val="Heading2"/>
      </w:pPr>
      <w:r>
        <w:t xml:space="preserve">References</w:t>
      </w:r>
    </w:p>
    <w:bookmarkStart w:id="109" w:name="refs"/>
    <w:bookmarkStart w:id="57"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6">
        <w:r>
          <w:rPr>
            <w:rStyle w:val="Hyperlink"/>
          </w:rPr>
          <w:t xml:space="preserve">https://doi.org/10.2307/3038097</w:t>
        </w:r>
      </w:hyperlink>
    </w:p>
    <w:bookmarkEnd w:id="57"/>
    <w:bookmarkStart w:id="59"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8">
        <w:r>
          <w:rPr>
            <w:rStyle w:val="Hyperlink"/>
          </w:rPr>
          <w:t xml:space="preserve">https://doi.org/10.1016/j.jembe.2004.12.023</w:t>
        </w:r>
      </w:hyperlink>
    </w:p>
    <w:bookmarkEnd w:id="59"/>
    <w:bookmarkStart w:id="61"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60">
        <w:r>
          <w:rPr>
            <w:rStyle w:val="Hyperlink"/>
          </w:rPr>
          <w:t xml:space="preserve">https://doi.org/10.1016/0169-5347(94)90246-1</w:t>
        </w:r>
      </w:hyperlink>
    </w:p>
    <w:bookmarkEnd w:id="61"/>
    <w:bookmarkStart w:id="63"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2">
        <w:r>
          <w:rPr>
            <w:rStyle w:val="Hyperlink"/>
          </w:rPr>
          <w:t xml:space="preserve">https://doi.org/10.1002/ecy.3324</w:t>
        </w:r>
      </w:hyperlink>
    </w:p>
    <w:bookmarkEnd w:id="63"/>
    <w:bookmarkStart w:id="65"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4">
        <w:r>
          <w:rPr>
            <w:rStyle w:val="Hyperlink"/>
          </w:rPr>
          <w:t xml:space="preserve">https://doi.org/10.1007/BF00390685</w:t>
        </w:r>
      </w:hyperlink>
    </w:p>
    <w:bookmarkEnd w:id="65"/>
    <w:bookmarkStart w:id="67" w:name="ref-Chase2011"/>
    <w:p>
      <w:pPr>
        <w:pStyle w:val="Bibliography"/>
      </w:pPr>
      <w:r>
        <w:t xml:space="preserve">Chase, J. M., Kraft, N. J. B., Smith, K. G., Vellend, M., &amp; Inouye, B. D. (2011). 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w:t>
      </w:r>
      <w:r>
        <w:t xml:space="preserve"> </w:t>
      </w:r>
      <w:r>
        <w:rPr>
          <w:i/>
          <w:iCs/>
        </w:rPr>
        <w:t xml:space="preserve">2</w:t>
      </w:r>
      <w:r>
        <w:t xml:space="preserve">(2), art24.</w:t>
      </w:r>
      <w:r>
        <w:t xml:space="preserve"> </w:t>
      </w:r>
      <w:hyperlink r:id="rId66">
        <w:r>
          <w:rPr>
            <w:rStyle w:val="Hyperlink"/>
          </w:rPr>
          <w:t xml:space="preserve">https://doi.org/10.1890/ES10-00117.1</w:t>
        </w:r>
      </w:hyperlink>
    </w:p>
    <w:bookmarkEnd w:id="67"/>
    <w:bookmarkStart w:id="69"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8">
        <w:r>
          <w:rPr>
            <w:rStyle w:val="Hyperlink"/>
          </w:rPr>
          <w:t xml:space="preserve">https://doi.org/10.1371/journal.pone.0208545</w:t>
        </w:r>
      </w:hyperlink>
    </w:p>
    <w:bookmarkEnd w:id="69"/>
    <w:bookmarkStart w:id="71"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70">
        <w:r>
          <w:rPr>
            <w:rStyle w:val="Hyperlink"/>
          </w:rPr>
          <w:t xml:space="preserve">https://doi.org/10.1007/s00338-018-1709-7</w:t>
        </w:r>
      </w:hyperlink>
    </w:p>
    <w:bookmarkEnd w:id="71"/>
    <w:bookmarkStart w:id="73"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72">
        <w:r>
          <w:rPr>
            <w:rStyle w:val="Hyperlink"/>
          </w:rPr>
          <w:t xml:space="preserve">https://doi.org/10.2307/5880</w:t>
        </w:r>
      </w:hyperlink>
    </w:p>
    <w:bookmarkEnd w:id="73"/>
    <w:bookmarkStart w:id="74"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4"/>
    <w:bookmarkStart w:id="76"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5">
        <w:r>
          <w:rPr>
            <w:rStyle w:val="Hyperlink"/>
          </w:rPr>
          <w:t xml:space="preserve">https://doi.org/10.1126/sciadv.1500052</w:t>
        </w:r>
      </w:hyperlink>
    </w:p>
    <w:bookmarkEnd w:id="76"/>
    <w:bookmarkStart w:id="78"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7">
        <w:r>
          <w:rPr>
            <w:rStyle w:val="Hyperlink"/>
          </w:rPr>
          <w:t xml:space="preserve">https://doi.org/10.1007/s12080-017-0352-1</w:t>
        </w:r>
      </w:hyperlink>
    </w:p>
    <w:bookmarkEnd w:id="78"/>
    <w:bookmarkStart w:id="80"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9">
        <w:r>
          <w:rPr>
            <w:rStyle w:val="Hyperlink"/>
          </w:rPr>
          <w:t xml:space="preserve">https://doi.org/10.1126/science.286.5442.1123</w:t>
        </w:r>
      </w:hyperlink>
    </w:p>
    <w:bookmarkEnd w:id="80"/>
    <w:bookmarkStart w:id="82"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81">
        <w:r>
          <w:rPr>
            <w:rStyle w:val="Hyperlink"/>
          </w:rPr>
          <w:t xml:space="preserve">https://doi.org/10.1007/s00227-008-1051-7</w:t>
        </w:r>
      </w:hyperlink>
    </w:p>
    <w:bookmarkEnd w:id="82"/>
    <w:bookmarkStart w:id="84"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83">
        <w:r>
          <w:rPr>
            <w:rStyle w:val="Hyperlink"/>
          </w:rPr>
          <w:t xml:space="preserve">https://doi.org/10.3354/meps030021</w:t>
        </w:r>
      </w:hyperlink>
    </w:p>
    <w:bookmarkEnd w:id="84"/>
    <w:bookmarkStart w:id="86"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5">
        <w:r>
          <w:rPr>
            <w:rStyle w:val="Hyperlink"/>
          </w:rPr>
          <w:t xml:space="preserve">https://doi.org/10.1111/mec.16556</w:t>
        </w:r>
      </w:hyperlink>
    </w:p>
    <w:bookmarkEnd w:id="86"/>
    <w:bookmarkStart w:id="88"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7">
        <w:r>
          <w:rPr>
            <w:rStyle w:val="Hyperlink"/>
          </w:rPr>
          <w:t xml:space="preserve">https://doi.org/10.1038/nature06970</w:t>
        </w:r>
      </w:hyperlink>
    </w:p>
    <w:bookmarkEnd w:id="88"/>
    <w:bookmarkStart w:id="90"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9">
        <w:r>
          <w:rPr>
            <w:rStyle w:val="Hyperlink"/>
          </w:rPr>
          <w:t xml:space="preserve">https://doi.org/10.1146/annurev.en.28.010183.000323</w:t>
        </w:r>
      </w:hyperlink>
    </w:p>
    <w:bookmarkEnd w:id="90"/>
    <w:bookmarkStart w:id="91"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91"/>
    <w:bookmarkStart w:id="93"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2">
        <w:r>
          <w:rPr>
            <w:rStyle w:val="Hyperlink"/>
          </w:rPr>
          <w:t xml:space="preserve">https://doi.org/10.1007/s00442-012-2275-2</w:t>
        </w:r>
      </w:hyperlink>
    </w:p>
    <w:bookmarkEnd w:id="93"/>
    <w:bookmarkStart w:id="95"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4">
        <w:r>
          <w:rPr>
            <w:rStyle w:val="Hyperlink"/>
          </w:rPr>
          <w:t xml:space="preserve">https://doi.org/10.1111/j.1365-2656.2005.00913.x</w:t>
        </w:r>
      </w:hyperlink>
    </w:p>
    <w:bookmarkEnd w:id="95"/>
    <w:bookmarkStart w:id="97"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6">
        <w:r>
          <w:rPr>
            <w:rStyle w:val="Hyperlink"/>
          </w:rPr>
          <w:t xml:space="preserve">https://doi.org/10.1371/journal.pone.0135928</w:t>
        </w:r>
      </w:hyperlink>
    </w:p>
    <w:bookmarkEnd w:id="97"/>
    <w:bookmarkStart w:id="99"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8">
        <w:r>
          <w:rPr>
            <w:rStyle w:val="Hyperlink"/>
          </w:rPr>
          <w:t xml:space="preserve">https://doi.org/10.1098/rsbl.2010.0291</w:t>
        </w:r>
      </w:hyperlink>
    </w:p>
    <w:bookmarkEnd w:id="99"/>
    <w:bookmarkStart w:id="101"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100">
        <w:r>
          <w:rPr>
            <w:rStyle w:val="Hyperlink"/>
          </w:rPr>
          <w:t xml:space="preserve">https://doi.org/10.1111/gcb.16000</w:t>
        </w:r>
      </w:hyperlink>
    </w:p>
    <w:bookmarkEnd w:id="101"/>
    <w:bookmarkStart w:id="103"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2">
        <w:r>
          <w:rPr>
            <w:rStyle w:val="Hyperlink"/>
          </w:rPr>
          <w:t xml:space="preserve">https://doi.org/10.1007/s00442-013-2858-6</w:t>
        </w:r>
      </w:hyperlink>
    </w:p>
    <w:bookmarkEnd w:id="103"/>
    <w:bookmarkStart w:id="105"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4">
        <w:r>
          <w:rPr>
            <w:rStyle w:val="Hyperlink"/>
          </w:rPr>
          <w:t xml:space="preserve">https://doi.org/10.1371/journal.pone.0032079</w:t>
        </w:r>
      </w:hyperlink>
    </w:p>
    <w:bookmarkEnd w:id="105"/>
    <w:bookmarkStart w:id="107"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6">
        <w:r>
          <w:rPr>
            <w:rStyle w:val="Hyperlink"/>
          </w:rPr>
          <w:t xml:space="preserve">https://doi.org/10.1890/09-1993.1</w:t>
        </w:r>
      </w:hyperlink>
    </w:p>
    <w:bookmarkEnd w:id="107"/>
    <w:bookmarkStart w:id="108"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8"/>
    <w:bookmarkEnd w:id="109"/>
    <w:p>
      <w:r>
        <w:pict>
          <v:rect style="width:0;height:1.5pt" o:hralign="center" o:hrstd="t" o:hr="t"/>
        </w:pict>
      </w:r>
    </w:p>
    <w:bookmarkEnd w:id="110"/>
    <w:bookmarkStart w:id="111"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62" Target="https://doi.org/10.1002/ecy.3324" TargetMode="External" /><Relationship Type="http://schemas.openxmlformats.org/officeDocument/2006/relationships/hyperlink" Id="rId64" Target="https://doi.org/10.1007/BF00390685" TargetMode="External" /><Relationship Type="http://schemas.openxmlformats.org/officeDocument/2006/relationships/hyperlink" Id="rId81" Target="https://doi.org/10.1007/s00227-008-1051-7" TargetMode="External" /><Relationship Type="http://schemas.openxmlformats.org/officeDocument/2006/relationships/hyperlink" Id="rId70" Target="https://doi.org/10.1007/s00338-018-1709-7" TargetMode="External" /><Relationship Type="http://schemas.openxmlformats.org/officeDocument/2006/relationships/hyperlink" Id="rId92" Target="https://doi.org/10.1007/s00442-012-2275-2" TargetMode="External" /><Relationship Type="http://schemas.openxmlformats.org/officeDocument/2006/relationships/hyperlink" Id="rId102" Target="https://doi.org/10.1007/s00442-013-2858-6" TargetMode="External" /><Relationship Type="http://schemas.openxmlformats.org/officeDocument/2006/relationships/hyperlink" Id="rId77" Target="https://doi.org/10.1007/s12080-017-0352-1" TargetMode="External" /><Relationship Type="http://schemas.openxmlformats.org/officeDocument/2006/relationships/hyperlink" Id="rId60" Target="https://doi.org/10.1016/0169-5347(94)90246-1" TargetMode="External" /><Relationship Type="http://schemas.openxmlformats.org/officeDocument/2006/relationships/hyperlink" Id="rId58" Target="https://doi.org/10.1016/j.jembe.2004.12.023" TargetMode="External" /><Relationship Type="http://schemas.openxmlformats.org/officeDocument/2006/relationships/hyperlink" Id="rId87" Target="https://doi.org/10.1038/nature06970" TargetMode="External" /><Relationship Type="http://schemas.openxmlformats.org/officeDocument/2006/relationships/hyperlink" Id="rId98" Target="https://doi.org/10.1098/rsbl.2010.0291" TargetMode="External" /><Relationship Type="http://schemas.openxmlformats.org/officeDocument/2006/relationships/hyperlink" Id="rId100" Target="https://doi.org/10.1111/gcb.16000" TargetMode="External" /><Relationship Type="http://schemas.openxmlformats.org/officeDocument/2006/relationships/hyperlink" Id="rId94" Target="https://doi.org/10.1111/j.1365-2656.2005.00913.x" TargetMode="External" /><Relationship Type="http://schemas.openxmlformats.org/officeDocument/2006/relationships/hyperlink" Id="rId85" Target="https://doi.org/10.1111/mec.16556" TargetMode="External" /><Relationship Type="http://schemas.openxmlformats.org/officeDocument/2006/relationships/hyperlink" Id="rId75" Target="https://doi.org/10.1126/sciadv.1500052" TargetMode="External" /><Relationship Type="http://schemas.openxmlformats.org/officeDocument/2006/relationships/hyperlink" Id="rId79" Target="https://doi.org/10.1126/science.286.5442.1123" TargetMode="External" /><Relationship Type="http://schemas.openxmlformats.org/officeDocument/2006/relationships/hyperlink" Id="rId89" Target="https://doi.org/10.1146/annurev.en.28.010183.000323" TargetMode="External" /><Relationship Type="http://schemas.openxmlformats.org/officeDocument/2006/relationships/hyperlink" Id="rId104" Target="https://doi.org/10.1371/journal.pone.0032079" TargetMode="External" /><Relationship Type="http://schemas.openxmlformats.org/officeDocument/2006/relationships/hyperlink" Id="rId96" Target="https://doi.org/10.1371/journal.pone.0135928" TargetMode="External" /><Relationship Type="http://schemas.openxmlformats.org/officeDocument/2006/relationships/hyperlink" Id="rId68" Target="https://doi.org/10.1371/journal.pone.0208545" TargetMode="External" /><Relationship Type="http://schemas.openxmlformats.org/officeDocument/2006/relationships/hyperlink" Id="rId106" Target="https://doi.org/10.1890/09-1993.1" TargetMode="External" /><Relationship Type="http://schemas.openxmlformats.org/officeDocument/2006/relationships/hyperlink" Id="rId66" Target="https://doi.org/10.1890/ES10-00117.1" TargetMode="External" /><Relationship Type="http://schemas.openxmlformats.org/officeDocument/2006/relationships/hyperlink" Id="rId56" Target="https://doi.org/10.2307/3038097" TargetMode="External" /><Relationship Type="http://schemas.openxmlformats.org/officeDocument/2006/relationships/hyperlink" Id="rId72" Target="https://doi.org/10.2307/5880" TargetMode="External" /><Relationship Type="http://schemas.openxmlformats.org/officeDocument/2006/relationships/hyperlink" Id="rId83"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ecy.3324" TargetMode="External" /><Relationship Type="http://schemas.openxmlformats.org/officeDocument/2006/relationships/hyperlink" Id="rId64" Target="https://doi.org/10.1007/BF00390685" TargetMode="External" /><Relationship Type="http://schemas.openxmlformats.org/officeDocument/2006/relationships/hyperlink" Id="rId81" Target="https://doi.org/10.1007/s00227-008-1051-7" TargetMode="External" /><Relationship Type="http://schemas.openxmlformats.org/officeDocument/2006/relationships/hyperlink" Id="rId70" Target="https://doi.org/10.1007/s00338-018-1709-7" TargetMode="External" /><Relationship Type="http://schemas.openxmlformats.org/officeDocument/2006/relationships/hyperlink" Id="rId92" Target="https://doi.org/10.1007/s00442-012-2275-2" TargetMode="External" /><Relationship Type="http://schemas.openxmlformats.org/officeDocument/2006/relationships/hyperlink" Id="rId102" Target="https://doi.org/10.1007/s00442-013-2858-6" TargetMode="External" /><Relationship Type="http://schemas.openxmlformats.org/officeDocument/2006/relationships/hyperlink" Id="rId77" Target="https://doi.org/10.1007/s12080-017-0352-1" TargetMode="External" /><Relationship Type="http://schemas.openxmlformats.org/officeDocument/2006/relationships/hyperlink" Id="rId60" Target="https://doi.org/10.1016/0169-5347(94)90246-1" TargetMode="External" /><Relationship Type="http://schemas.openxmlformats.org/officeDocument/2006/relationships/hyperlink" Id="rId58" Target="https://doi.org/10.1016/j.jembe.2004.12.023" TargetMode="External" /><Relationship Type="http://schemas.openxmlformats.org/officeDocument/2006/relationships/hyperlink" Id="rId87" Target="https://doi.org/10.1038/nature06970" TargetMode="External" /><Relationship Type="http://schemas.openxmlformats.org/officeDocument/2006/relationships/hyperlink" Id="rId98" Target="https://doi.org/10.1098/rsbl.2010.0291" TargetMode="External" /><Relationship Type="http://schemas.openxmlformats.org/officeDocument/2006/relationships/hyperlink" Id="rId100" Target="https://doi.org/10.1111/gcb.16000" TargetMode="External" /><Relationship Type="http://schemas.openxmlformats.org/officeDocument/2006/relationships/hyperlink" Id="rId94" Target="https://doi.org/10.1111/j.1365-2656.2005.00913.x" TargetMode="External" /><Relationship Type="http://schemas.openxmlformats.org/officeDocument/2006/relationships/hyperlink" Id="rId85" Target="https://doi.org/10.1111/mec.16556" TargetMode="External" /><Relationship Type="http://schemas.openxmlformats.org/officeDocument/2006/relationships/hyperlink" Id="rId75" Target="https://doi.org/10.1126/sciadv.1500052" TargetMode="External" /><Relationship Type="http://schemas.openxmlformats.org/officeDocument/2006/relationships/hyperlink" Id="rId79" Target="https://doi.org/10.1126/science.286.5442.1123" TargetMode="External" /><Relationship Type="http://schemas.openxmlformats.org/officeDocument/2006/relationships/hyperlink" Id="rId89" Target="https://doi.org/10.1146/annurev.en.28.010183.000323" TargetMode="External" /><Relationship Type="http://schemas.openxmlformats.org/officeDocument/2006/relationships/hyperlink" Id="rId104" Target="https://doi.org/10.1371/journal.pone.0032079" TargetMode="External" /><Relationship Type="http://schemas.openxmlformats.org/officeDocument/2006/relationships/hyperlink" Id="rId96" Target="https://doi.org/10.1371/journal.pone.0135928" TargetMode="External" /><Relationship Type="http://schemas.openxmlformats.org/officeDocument/2006/relationships/hyperlink" Id="rId68" Target="https://doi.org/10.1371/journal.pone.0208545" TargetMode="External" /><Relationship Type="http://schemas.openxmlformats.org/officeDocument/2006/relationships/hyperlink" Id="rId106" Target="https://doi.org/10.1890/09-1993.1" TargetMode="External" /><Relationship Type="http://schemas.openxmlformats.org/officeDocument/2006/relationships/hyperlink" Id="rId66" Target="https://doi.org/10.1890/ES10-00117.1" TargetMode="External" /><Relationship Type="http://schemas.openxmlformats.org/officeDocument/2006/relationships/hyperlink" Id="rId56" Target="https://doi.org/10.2307/3038097" TargetMode="External" /><Relationship Type="http://schemas.openxmlformats.org/officeDocument/2006/relationships/hyperlink" Id="rId72" Target="https://doi.org/10.2307/5880" TargetMode="External" /><Relationship Type="http://schemas.openxmlformats.org/officeDocument/2006/relationships/hyperlink" Id="rId83"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2026-03-24T13:08:03Z</dcterms:created>
  <dcterms:modified xsi:type="dcterms:W3CDTF">2026-03-24T13:08:03Z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