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07"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with host architecture explaining as much unique compositional variation as habitat area itself.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determines per-unit occupant density and, where the habitat is itself a living organism, the strength of occupant–host feedbacks. Residents of biogenic habitats alter host growth, survival, and condition through predator defense (Glynn 1983), nutrient processing (Meyer &amp; Schultz 1985), feeding (Silliman et al. 2005), and interactions with co-residents (Angelini et al. 2011). Per-unit occupant density therefore governs the intensity of these interactions, linking habitat configuration to habitat condition. In ecosystems structured by foundation species – trees, corals, kelps, oysters – the scaling regime shapes both community structure and host condition (Dayton 1972; MacArthur &amp; Wilson 1967), yet empirical tests of how scaling translates through community assembly to habitat condition remain scarce (Hamman et al. 2018; Moeller et al. 2023). Understanding these feedbacks is essential for predicting ecosystem trajectories under habitat loss, and for restoration practitioners who manipulate foundation species to enhance recovery.</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and the outcome depends on colonist longevity, density-dependent mortality, and migration frequency (Hamman et al. 2018). 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Which regime prevails thus shapes whether habitat loss restructures occupant communities in ways that accelerate or buffer further decline (Rennick et al. 2022).</w:t>
      </w:r>
    </w:p>
    <w:p>
      <w:pPr>
        <w:pStyle w:val="BodyText"/>
      </w:pPr>
      <w:r>
        <w:t xml:space="preserve">But density is not the whole story. If sublinear scaling forces occupant communities to diversify rather than simply accumulate – adding new species rather than more conspecifics – then habitat size determines not just how many occupants a patch supports but which ones. And if different occupants have different effects on their host – defenders versus corallivores, nutrient subsidizers versus tissue consumers – then the scaling regime determines the net effect of the occupant community on habitat condition. No study has tested this full chain, from habitat quantity through compositional turnover to habitat condition, in a biogenic habitat system.</w:t>
      </w:r>
    </w:p>
    <w:p>
      <w:pPr>
        <w:pStyle w:val="BodyText"/>
      </w:pPr>
      <w:r>
        <w:t xml:space="preserve">Colony architecture – branching geometry, interstitial space, microhabitat complexity – may add a further dimension. If occupants colonize based on physical habitat structure rather than host identity, then variation in architecture filters community composition independently of habitat quantity. For branching corals, whose cryptic species complex encompasses lineages that differ substantially in branch spacing and colony form (</w:t>
      </w:r>
      <w:r>
        <w:t xml:space="preserve">Johnston et al. (</w:t>
      </w:r>
      <w:hyperlink w:anchor="ref-JohnstonCunningBurgess2022">
        <w:r>
          <w:rPr>
            <w:rStyle w:val="Hyperlink"/>
          </w:rPr>
          <w:t xml:space="preserve">2022</w:t>
        </w:r>
      </w:hyperlink>
      <w:r>
        <w:t xml:space="preserve">)</w:t>
      </w:r>
      <w:r>
        <w:t xml:space="preserve">;</w:t>
      </w:r>
      <w:r>
        <w:t xml:space="preserve"> </w:t>
      </w:r>
      <w:r>
        <w:t xml:space="preserve">Burgess et al. (</w:t>
      </w:r>
      <w:hyperlink w:anchor="ref-Burgess2021">
        <w:r>
          <w:rPr>
            <w:rStyle w:val="Hyperlink"/>
          </w:rPr>
          <w:t xml:space="preserve">2021</w:t>
        </w:r>
      </w:hyperlink>
      <w:r>
        <w:t xml:space="preserve">)</w:t>
      </w:r>
      <w:r>
        <w:t xml:space="preserve">), this raises the question of whether habitat identity shapes occupant communities beyond what habitat area alone predicts – and whether the architecture that mediates this filtering also mediates the link between community composition and host condition.</w:t>
      </w:r>
    </w:p>
    <w:p>
      <w:pPr>
        <w:pStyle w:val="BodyText"/>
      </w:pPr>
      <w:r>
        <w:t xml:space="preserve">Branching corals in the genus</w:t>
      </w:r>
      <w:r>
        <w:t xml:space="preserve"> </w:t>
      </w:r>
      <w:r>
        <w:rPr>
          <w:i/>
          <w:iCs/>
        </w:rPr>
        <w:t xml:space="preserve">Pocillopora</w:t>
      </w:r>
      <w:r>
        <w:t xml:space="preserve"> </w:t>
      </w:r>
      <w:r>
        <w:t xml:space="preserve">offer a tractable model for testing these ideas.</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spp.) defend corals from predatory sea stars and remove sediment (Glynn 1983; Stier et al. 2012), snapping shrimp (</w:t>
      </w:r>
      <w:r>
        <w:rPr>
          <w:i/>
          <w:iCs/>
        </w:rPr>
        <w:t xml:space="preserve">Alpheus</w:t>
      </w:r>
      <w:r>
        <w:t xml:space="preserve"> </w:t>
      </w:r>
      <w:r>
        <w:t xml:space="preserve">spp.) deter predators, coral-dwelling fishes subsidize host nutrition through ammonia-rich excretion (Holbrook et al. 2008; Shantz et al. 2023), and corallivorous gastropods consume tissue and facilitate disease (Boucher 1986; Nicolet et al. 2013). Because many CAFI are obligate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Species stacking generates a compositional prediction distinct from passive sampling: small-coral faunas should not be nested subsets of large-coral faunas, and colony volume should structure the identity of occupants, not just their number. CAFI abundance increases with colony volume but less than proportionally across coral genera and reef systems (Gotelli &amp; Abele 1985; Curtis et al. 2023; Harborne et al. 2011; Brush et al. 2026), and a companion experiment manipulating coral density found proportional scaling during active colonization but sublinear scaling in established communities ([Anonymous, in review]), suggesting that post-settlement processes shift the scaling regime as communities mature.</w:t>
      </w:r>
    </w:p>
    <w:p>
      <w:pPr>
        <w:pStyle w:val="BodyText"/>
      </w:pPr>
      <w:r>
        <w:t xml:space="preserve">Here, we survey 114</w:t>
      </w:r>
      <w:r>
        <w:t xml:space="preserve"> </w:t>
      </w:r>
      <w:r>
        <w:rPr>
          <w:i/>
          <w:iCs/>
        </w:rPr>
        <w:t xml:space="preserve">Pocillopora</w:t>
      </w:r>
      <w:r>
        <w:t xml:space="preserve"> </w:t>
      </w:r>
      <w:r>
        <w:t xml:space="preserve">colonies spanning three orders of magnitude in volume across three reef habitats on Mo’orea, French Polynesia, cataloging 3,989 individuals from 243 taxa to test three linked predictions. First, we predicted that CAFI abundance scales sublinearly with colony volume, consistent with Propagule Redirection, and that the raw species–area relationship reflects passive sampling rather than active species accumulation. If scaling is sublinear, species stacking predicts that composition should turn over – not merely accumulate – along the size gradient. We therefore predicted, second, that CAFI composition changes through species replacement rather than nestedness, with colony volume and host architecture structuring occupant identity beyond abundance alone. Third, we predicted that the resulting community variation covaries with coral condition: if functionally distinct residents – guard crabs, nutrient-subsidizing fishes, corallivorous gastropods – contribute complementary services, then diversity should predict condition beyond what abundance alone explains.</w:t>
      </w:r>
    </w:p>
    <w:p>
      <w:pPr>
        <w:pStyle w:val="BodyText"/>
      </w:pPr>
      <w:r>
        <w:t xml:space="preserve">Together, these predictions trace a chain from habitat quantity through density dilution and community assembly to habitat condition. If density dilution leaves large colonies with proportionally fewer mutualists and proportionally more antagonists, this chain has direct consequences wherever habitat loss or climate stress restructures the occupant communities that sustain biogenic habitats – a prediction made more urgent by the size-dependent vulnerability of large habitat-forming organisms to thermal stress (Speare et al. 2022),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p>
      <w:pPr>
        <w:pStyle w:val="BodyText"/>
      </w:pPr>
      <w:r>
        <w:t xml:space="preserve">Beyond shaping how many species a colony hosts, colony size also structures which species are present.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Because</w:t>
      </w:r>
      <w:r>
        <w:t xml:space="preserve"> </w:t>
      </w:r>
      <w:r>
        <w:rPr>
          <w:i/>
          <w:iCs/>
        </w:rPr>
        <w:t xml:space="preserve">Pocillopora</w:t>
      </w:r>
      <w:r>
        <w:t xml:space="preserve"> </w:t>
      </w:r>
      <w:r>
        <w:t xml:space="preserve">comprises multiple cryptic species with distinct branching architectures, we tested whether host species identity contributes to compositional variation beyond colony size (Supplementary Methods). Coral genetic species predicted CAFI richness (p = 0.007) and composition (PERMANOVA R² = 0.08, p = 0.001) but not total abundance (p = 0.24; Table S16). Three-way variance partitioning attributed comparable unique variation to host architecture (5.6%) and colony volume (4.6%), both exceeding site (2.9%; Table S16).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w:t>
      </w:r>
      <w:r>
        <w:t xml:space="preserve"> </w:t>
      </w:r>
      <w:r>
        <w:rPr>
          <w:i/>
          <w:iCs/>
        </w:rPr>
        <w:t xml:space="preserve">Trapezia</w:t>
      </w:r>
      <w:r>
        <w:t xml:space="preserve"> </w:t>
      </w:r>
      <w:r>
        <w:t xml:space="preserve">did not differ among coral species (p = 0.51), suggesting that guard crabs colonize based on colony geometry rather than host identity (Tables S17–S18; Figs. S12–S13).</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But density dilution is not the whole story. Sublinear scaling predicts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Three-way variance partitioning reveals that host architecture – branch width and genetic species identity – explains more unique compositional variation (5.6%) than colony size (4.6%) or site (2.9%) alone (Table S16; Supplementary Methods), indicating that habitat identity, not merely habitat area, structures these communities. Mutualist and antagonist CAFI responded differently to host identity: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 mutualists colonized based on colony geometry rather than host species. Volume-weighted null models detected no significant pairwise associations after FDR correction (Fig. S9), but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minimum detectable R² = 0.15 at 80%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 ([Anonymous, in review]) 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Mediation analysis confirmed that the richness effect operates directly rather than through abundance (ACME p = 0.69; Table S12).</w:t>
      </w:r>
    </w:p>
    <w:p>
      <w:pPr>
        <w:pStyle w:val="BodyText"/>
      </w:pPr>
      <w:r>
        <w:t xml:space="preserve">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5" w:name="references"/>
    <w:p>
      <w:pPr>
        <w:pStyle w:val="Heading2"/>
      </w:pPr>
      <w:r>
        <w:t xml:space="preserve">References</w:t>
      </w:r>
    </w:p>
    <w:bookmarkStart w:id="104"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5">
        <w:r>
          <w:rPr>
            <w:rStyle w:val="Hyperlink"/>
          </w:rPr>
          <w:t xml:space="preserve">https://doi.org/10.1146/annurev.en.28.010183.000323</w:t>
        </w:r>
      </w:hyperlink>
    </w:p>
    <w:bookmarkEnd w:id="86"/>
    <w:bookmarkStart w:id="87"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7"/>
    <w:bookmarkStart w:id="89"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88">
        <w:r>
          <w:rPr>
            <w:rStyle w:val="Hyperlink"/>
          </w:rPr>
          <w:t xml:space="preserve">https://doi.org/10.1007/s00442-012-2275-2</w:t>
        </w:r>
      </w:hyperlink>
    </w:p>
    <w:bookmarkEnd w:id="89"/>
    <w:bookmarkStart w:id="91"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0">
        <w:r>
          <w:rPr>
            <w:rStyle w:val="Hyperlink"/>
          </w:rPr>
          <w:t xml:space="preserve">https://doi.org/10.1111/j.1365-2656.2005.00913.x</w:t>
        </w:r>
      </w:hyperlink>
    </w:p>
    <w:bookmarkEnd w:id="91"/>
    <w:bookmarkStart w:id="93"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2">
        <w:r>
          <w:rPr>
            <w:rStyle w:val="Hyperlink"/>
          </w:rPr>
          <w:t xml:space="preserve">https://doi.org/10.1371/journal.pone.0135928</w:t>
        </w:r>
      </w:hyperlink>
    </w:p>
    <w:bookmarkEnd w:id="93"/>
    <w:bookmarkStart w:id="95"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4">
        <w:r>
          <w:rPr>
            <w:rStyle w:val="Hyperlink"/>
          </w:rPr>
          <w:t xml:space="preserve">https://doi.org/10.1098/rsbl.2010.0291</w:t>
        </w:r>
      </w:hyperlink>
    </w:p>
    <w:bookmarkEnd w:id="95"/>
    <w:bookmarkStart w:id="97"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6">
        <w:r>
          <w:rPr>
            <w:rStyle w:val="Hyperlink"/>
          </w:rPr>
          <w:t xml:space="preserve">https://doi.org/10.1111/gcb.16000</w:t>
        </w:r>
      </w:hyperlink>
    </w:p>
    <w:bookmarkEnd w:id="97"/>
    <w:bookmarkStart w:id="99"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98">
        <w:r>
          <w:rPr>
            <w:rStyle w:val="Hyperlink"/>
          </w:rPr>
          <w:t xml:space="preserve">https://doi.org/10.1007/s00442-013-2858-6</w:t>
        </w:r>
      </w:hyperlink>
    </w:p>
    <w:bookmarkEnd w:id="99"/>
    <w:bookmarkStart w:id="101"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0">
        <w:r>
          <w:rPr>
            <w:rStyle w:val="Hyperlink"/>
          </w:rPr>
          <w:t xml:space="preserve">https://doi.org/10.1371/journal.pone.0032079</w:t>
        </w:r>
      </w:hyperlink>
    </w:p>
    <w:bookmarkEnd w:id="101"/>
    <w:bookmarkStart w:id="103"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2">
        <w:r>
          <w:rPr>
            <w:rStyle w:val="Hyperlink"/>
          </w:rPr>
          <w:t xml:space="preserve">https://doi.org/10.1890/09-1993.1</w:t>
        </w:r>
      </w:hyperlink>
    </w:p>
    <w:bookmarkEnd w:id="103"/>
    <w:bookmarkEnd w:id="104"/>
    <w:p>
      <w:r>
        <w:pict>
          <v:rect style="width:0;height:1.5pt" o:hralign="center" o:hrstd="t" o:hr="t"/>
        </w:pict>
      </w:r>
    </w:p>
    <w:bookmarkEnd w:id="105"/>
    <w:bookmarkStart w:id="106"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(17 supplementary figures, 20 supplementary tables, supplementary methods).</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88" Target="https://doi.org/10.1007/s00442-012-2275-2" TargetMode="External" /><Relationship Type="http://schemas.openxmlformats.org/officeDocument/2006/relationships/hyperlink" Id="rId98"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94" Target="https://doi.org/10.1098/rsbl.2010.0291" TargetMode="External" /><Relationship Type="http://schemas.openxmlformats.org/officeDocument/2006/relationships/hyperlink" Id="rId96" Target="https://doi.org/10.1111/gcb.16000" TargetMode="External" /><Relationship Type="http://schemas.openxmlformats.org/officeDocument/2006/relationships/hyperlink" Id="rId90"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5" Target="https://doi.org/10.1146/annurev.en.28.010183.000323" TargetMode="External" /><Relationship Type="http://schemas.openxmlformats.org/officeDocument/2006/relationships/hyperlink" Id="rId100" Target="https://doi.org/10.1371/journal.pone.0032079" TargetMode="External" /><Relationship Type="http://schemas.openxmlformats.org/officeDocument/2006/relationships/hyperlink" Id="rId92"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2"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88" Target="https://doi.org/10.1007/s00442-012-2275-2" TargetMode="External" /><Relationship Type="http://schemas.openxmlformats.org/officeDocument/2006/relationships/hyperlink" Id="rId98"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94" Target="https://doi.org/10.1098/rsbl.2010.0291" TargetMode="External" /><Relationship Type="http://schemas.openxmlformats.org/officeDocument/2006/relationships/hyperlink" Id="rId96" Target="https://doi.org/10.1111/gcb.16000" TargetMode="External" /><Relationship Type="http://schemas.openxmlformats.org/officeDocument/2006/relationships/hyperlink" Id="rId90"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5" Target="https://doi.org/10.1146/annurev.en.28.010183.000323" TargetMode="External" /><Relationship Type="http://schemas.openxmlformats.org/officeDocument/2006/relationships/hyperlink" Id="rId100" Target="https://doi.org/10.1371/journal.pone.0032079" TargetMode="External" /><Relationship Type="http://schemas.openxmlformats.org/officeDocument/2006/relationships/hyperlink" Id="rId92"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2"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2026-03-24T13:08:05Z</dcterms:created>
  <dcterms:modified xsi:type="dcterms:W3CDTF">2026-03-24T13:08:05Z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