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142.png" ContentType="image/png"/>
  <Override PartName="/word/media/rId145.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Colony size drives sublinear scaling, compositional turnover, and biodiversity–condition feedbacks in coral-associated fauna</w:t>
      </w:r>
    </w:p>
    <w:bookmarkStart w:id="114" w:name="X833a375cd9ba65dbf46f3ef06ef724ad27fb6a5"/>
    <w:p>
      <w:pPr>
        <w:pStyle w:val="Heading1"/>
      </w:pPr>
      <w:r>
        <w:t xml:space="preserve">Colony size drives sublinear scaling, compositional turnover, and biodiversity–condition feedbacks in coral-associated fauna</w:t>
      </w:r>
    </w:p>
    <w:p>
      <w:pPr>
        <w:pStyle w:val="FirstParagraph"/>
      </w:pPr>
      <w:r>
        <w:t xml:space="preserve">Adrian C. Stier</w:t>
      </w:r>
      <w:r>
        <w:rPr>
          <w:vertAlign w:val="superscript"/>
        </w:rPr>
        <w:t xml:space="preserve">1,2</w:t>
      </w:r>
      <w:r>
        <w:t xml:space="preserve">*, Alexander Primo</w:t>
      </w:r>
      <w:r>
        <w:rPr>
          <w:vertAlign w:val="superscript"/>
        </w:rPr>
        <w:t xml:space="preserve">3</w:t>
      </w:r>
      <w:r>
        <w:t xml:space="preserve">, Joseph S. Curtis</w:t>
      </w:r>
      <w:r>
        <w:rPr>
          <w:vertAlign w:val="superscript"/>
        </w:rPr>
        <w:t xml:space="preserve">1,4</w:t>
      </w:r>
      <w:r>
        <w:t xml:space="preserve">, Craig W. Osenberg</w:t>
      </w:r>
      <w:r>
        <w:rPr>
          <w:vertAlign w:val="superscript"/>
        </w:rPr>
        <w:t xml:space="preserve">3</w:t>
      </w:r>
    </w:p>
    <w:p>
      <w:pPr>
        <w:pStyle w:val="BodyText"/>
      </w:pPr>
      <w:r>
        <w:rPr>
          <w:vertAlign w:val="superscript"/>
        </w:rPr>
        <w:t xml:space="preserve">1</w:t>
      </w:r>
      <w:r>
        <w:t xml:space="preserve">Department of Ecology, Evolution, and Marine Biology, University of California Santa Barbara, Santa Barbara, CA 93106, USA</w:t>
      </w:r>
    </w:p>
    <w:p>
      <w:pPr>
        <w:pStyle w:val="BodyText"/>
      </w:pPr>
      <w:r>
        <w:rPr>
          <w:vertAlign w:val="superscript"/>
        </w:rPr>
        <w:t xml:space="preserve">2</w:t>
      </w:r>
      <w:r>
        <w:t xml:space="preserve">Marine Science Institute, University of California Santa Barbara, Santa Barbara, CA 93106, USA</w:t>
      </w:r>
    </w:p>
    <w:p>
      <w:pPr>
        <w:pStyle w:val="BodyText"/>
      </w:pPr>
      <w:r>
        <w:rPr>
          <w:vertAlign w:val="superscript"/>
        </w:rPr>
        <w:t xml:space="preserve">3</w:t>
      </w:r>
      <w:r>
        <w:t xml:space="preserve">Odum School of Ecology, University of Georgia, 140 E Green St, Athens, GA 30602, USA</w:t>
      </w:r>
    </w:p>
    <w:p>
      <w:pPr>
        <w:pStyle w:val="BodyText"/>
      </w:pPr>
      <w:r>
        <w:rPr>
          <w:vertAlign w:val="superscript"/>
        </w:rPr>
        <w:t xml:space="preserve">4</w:t>
      </w:r>
      <w:r>
        <w:t xml:space="preserve">Department of Marine Science, University of Otago, PO Box 56, Dunedin, Otago 9054, New Zealand</w:t>
      </w:r>
    </w:p>
    <w:p>
      <w:pPr>
        <w:pStyle w:val="BodyText"/>
      </w:pPr>
      <w:r>
        <w:t xml:space="preserve">*Corresponding author: Adrian C. Stier (astier@ucsb.edu)</w:t>
      </w:r>
    </w:p>
    <w:p>
      <w:pPr>
        <w:pStyle w:val="BodyText"/>
      </w:pPr>
      <w:r>
        <w:rPr>
          <w:b/>
          <w:bCs/>
        </w:rPr>
        <w:t xml:space="preserve">ORCID:</w:t>
      </w:r>
      <w:r>
        <w:t xml:space="preserve"> </w:t>
      </w:r>
      <w:r>
        <w:t xml:space="preserve">Adrian C. Stier: [ORCID to be added]</w:t>
      </w:r>
      <w:r>
        <w:t xml:space="preserve"> </w:t>
      </w:r>
      <w:r>
        <w:t xml:space="preserve">Alexander Primo: [ORCID to be added]</w:t>
      </w:r>
      <w:r>
        <w:t xml:space="preserve"> </w:t>
      </w:r>
      <w:r>
        <w:t xml:space="preserve">Joseph S. Curtis: [ORCID to be added]</w:t>
      </w:r>
      <w:r>
        <w:t xml:space="preserve"> </w:t>
      </w:r>
      <w:r>
        <w:t xml:space="preserve">Craig W. Osenberg: [ORCID to be added]</w:t>
      </w:r>
    </w:p>
    <w:p>
      <w:r>
        <w:pict>
          <v:rect style="width:0;height:1.5pt" o:hralign="center" o:hrstd="t" o:hr="t"/>
        </w:pict>
      </w:r>
    </w:p>
    <w:bookmarkStart w:id="9" w:name="abstract"/>
    <w:p>
      <w:pPr>
        <w:pStyle w:val="Heading2"/>
      </w:pPr>
      <w:r>
        <w:t xml:space="preserve">Abstract</w:t>
      </w:r>
    </w:p>
    <w:p>
      <w:pPr>
        <w:pStyle w:val="FirstParagraph"/>
      </w:pPr>
      <w:r>
        <w:t xml:space="preserve">Occupant abundance in biogenic habitats – corals, trees, kelps, oysters – scales predictably with habitat size, yet whether scaling is proportional or sublinear determines per-capita density and the services occupants provide to their hosts. Whether sublinear scaling generates compositional turnover, and whether that turnover feeds back on habitat condition, have not been tested. We surveyed 114</w:t>
      </w:r>
      <w:r>
        <w:t xml:space="preserve"> </w:t>
      </w:r>
      <w:r>
        <w:rPr>
          <w:i/>
          <w:iCs/>
        </w:rPr>
        <w:t xml:space="preserve">Pocillopora</w:t>
      </w:r>
      <w:r>
        <w:t xml:space="preserve"> </w:t>
      </w:r>
      <w:r>
        <w:t xml:space="preserve">coral colonies spanning three orders of magnitude in volume across three reef habitats in Mo’orea, French Polynesia, cataloging 3,989 coral-associated fishes and invertebrates (CAFI) from 243 taxa. Total CAFI abundance scaled sublinearly with colony volume (β = 0.52), meaning larger corals harbor more occupants but at progressively lower per-capita densities – density dilution from a finite colonist pool. Because large colonies are diluted, the scaling regime has direct consequences for host condition: colony volume drove compositional turnover dominated by species replacement rather than nestedness, with host architecture explaining as much unique compositional variation as habitat area itself. Shorter inter-colony distances independently enhanced richness, an effect that survived rarefaction. Species richness positively predicted coral physiological condition, consistent with biodiversity–ecosystem function theory, though the causal pathway remains uncertain. Together, these results document a chain from habitat quantity through density dilution and community assembly to habitat condition. This chain is relevant wherever habitat loss or climate stress restructures the occupant communities that feed back on the condition of the biogenic habitats they depend on.</w:t>
      </w:r>
    </w:p>
    <w:p>
      <w:pPr>
        <w:pStyle w:val="BodyText"/>
      </w:pPr>
      <w:r>
        <w:rPr>
          <w:b/>
          <w:bCs/>
        </w:rPr>
        <w:t xml:space="preserve">Keywords:</w:t>
      </w:r>
      <w:r>
        <w:t xml:space="preserve"> </w:t>
      </w:r>
      <w:r>
        <w:t xml:space="preserve">biodiversity–ecosystem function, community assembly, coral-associated fauna, density dilution, neighborhood context,</w:t>
      </w:r>
      <w:r>
        <w:t xml:space="preserve"> </w:t>
      </w:r>
      <w:r>
        <w:rPr>
          <w:i/>
          <w:iCs/>
        </w:rPr>
        <w:t xml:space="preserve">Pocillopora</w:t>
      </w:r>
      <w:r>
        <w:t xml:space="preserve">, Propagule Redirection, species–area relationship</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relationship between habitat quantity and occupant abundance is among the most general patterns in ecology (Connor &amp; McCoy 1979; Preston 1962), yet whether abundance scales proportionally with habitat or sublinearly determines per-unit occupant density and, where the habitat is itself a living organism, the strength of occupant–host feedbacks. Residents of biogenic habitats alter host growth, survival, and condition through predator defense (Glynn 1983), nutrient processing (Meyer &amp; Schultz 1985), feeding (Silliman et al. 2005), and interactions with co-residents (Angelini et al. 2011). Per-unit occupant density therefore governs the intensity of these interactions, linking habitat configuration to habitat condition. In ecosystems structured by foundation species – trees, corals, kelps, oysters – the scaling regime shapes both community structure and host condition (Dayton 1972; MacArthur &amp; Wilson 1967), yet empirical tests of how scaling translates through community assembly to habitat condition remain scarce (Hamman et al. 2018; Moeller et al. 2023). Understanding these feedbacks is essential for predicting ecosystem trajectories under habitat loss, and for restoration practitioners who manipulate foundation species to enhance recovery.</w:t>
      </w:r>
    </w:p>
    <w:p>
      <w:pPr>
        <w:pStyle w:val="BodyText"/>
      </w:pPr>
      <w:r>
        <w:t xml:space="preserve">Two competing hypotheses predict how occupant density scales with habitat quantity. Under the Field of Dreams hypothesis, colonists arrive in proportion to habitat, maintaining constant per-unit density –</w:t>
      </w:r>
      <w:r>
        <w:t xml:space="preserve"> </w:t>
      </w:r>
      <w:r>
        <w:t xml:space="preserve">“if you build it, they will come”</w:t>
      </w:r>
      <w:r>
        <w:t xml:space="preserve"> </w:t>
      </w:r>
      <w:r>
        <w:t xml:space="preserve">(Palmer et al. 1997; Resetarits &amp; Binckley 2009). Propagule Redirection posits the opposite: patches draw from a shared colonist pool, so adding habitat dilutes per-unit density (Carr &amp; Hixon 1997; Stier &amp; Osenberg 2010). Both regimes can operate simultaneously, and the outcome depends on colonist longevity, density-dependent mortality, and migration frequency (Hamman et al. 2018). Each regime carries different consequences for the habitat itself: under Propagule Redirection, small patches accumulate disproportionately high occupant densities, enhancing condition if occupants provide benefits but suppressing it if they impose costs (Bissett et al. 2025; Stier &amp; Osenberg 2024a). Which regime prevails thus shapes whether habitat loss restructures occupant communities in ways that accelerate or buffer further decline (Rennick et al. 2022).</w:t>
      </w:r>
    </w:p>
    <w:p>
      <w:pPr>
        <w:pStyle w:val="BodyText"/>
      </w:pPr>
      <w:r>
        <w:t xml:space="preserve">But density is not the whole story. If sublinear scaling forces occupant communities to diversify rather than simply accumulate – adding new species rather than more conspecifics – then habitat size determines not just how many occupants a patch supports but which ones. And if different occupants have different effects on their host – defenders versus corallivores, nutrient subsidizers versus tissue consumers – then the scaling regime determines the net effect of the occupant community on habitat condition. No study has tested this full chain, from habitat quantity through compositional turnover to habitat condition, in a biogenic habitat system.</w:t>
      </w:r>
    </w:p>
    <w:p>
      <w:pPr>
        <w:pStyle w:val="BodyText"/>
      </w:pPr>
      <w:r>
        <w:t xml:space="preserve">Colony architecture – branching geometry, interstitial space, microhabitat complexity – may add a further dimension. If occupants colonize based on physical habitat structure rather than host identity, then variation in architecture filters community composition independently of habitat quantity. For branching corals, whose cryptic species complex encompasses lineages that differ substantially in branch spacing and colony form (</w:t>
      </w:r>
      <w:r>
        <w:t xml:space="preserve">Johnston et al. (</w:t>
      </w:r>
      <w:hyperlink w:anchor="ref-JohnstonCunningBurgess2022">
        <w:r>
          <w:rPr>
            <w:rStyle w:val="Hyperlink"/>
          </w:rPr>
          <w:t xml:space="preserve">2022</w:t>
        </w:r>
      </w:hyperlink>
      <w:r>
        <w:t xml:space="preserve">)</w:t>
      </w:r>
      <w:r>
        <w:t xml:space="preserve">;</w:t>
      </w:r>
      <w:r>
        <w:t xml:space="preserve"> </w:t>
      </w:r>
      <w:r>
        <w:t xml:space="preserve">Burgess et al. (</w:t>
      </w:r>
      <w:hyperlink w:anchor="ref-Burgess2021">
        <w:r>
          <w:rPr>
            <w:rStyle w:val="Hyperlink"/>
          </w:rPr>
          <w:t xml:space="preserve">2021</w:t>
        </w:r>
      </w:hyperlink>
      <w:r>
        <w:t xml:space="preserve">)</w:t>
      </w:r>
      <w:r>
        <w:t xml:space="preserve">), this raises the question of whether habitat identity shapes occupant communities beyond what habitat area alone predicts – and whether the architecture that mediates this filtering also mediates the link between community composition and host condition.</w:t>
      </w:r>
    </w:p>
    <w:p>
      <w:pPr>
        <w:pStyle w:val="BodyText"/>
      </w:pPr>
      <w:r>
        <w:t xml:space="preserve">Branching corals in the genus</w:t>
      </w:r>
      <w:r>
        <w:t xml:space="preserve"> </w:t>
      </w:r>
      <w:r>
        <w:rPr>
          <w:i/>
          <w:iCs/>
        </w:rPr>
        <w:t xml:space="preserve">Pocillopora</w:t>
      </w:r>
      <w:r>
        <w:t xml:space="preserve"> </w:t>
      </w:r>
      <w:r>
        <w:t xml:space="preserve">offer a tractable model for testing these ideas.</w:t>
      </w:r>
      <w:r>
        <w:t xml:space="preserve"> </w:t>
      </w:r>
      <w:r>
        <w:rPr>
          <w:i/>
          <w:iCs/>
        </w:rPr>
        <w:t xml:space="preserve">Pocillopora</w:t>
      </w:r>
      <w:r>
        <w:t xml:space="preserve"> </w:t>
      </w:r>
      <w:r>
        <w:t xml:space="preserve">colonies create complex three-dimensional structures supporting dense assemblages of coral-associated fishes and invertebrates (CAFI), sometimes exceeding 65 individuals from over 20 species on a single colony (Curtis et al. 2023). Guard crabs (</w:t>
      </w:r>
      <w:r>
        <w:rPr>
          <w:i/>
          <w:iCs/>
        </w:rPr>
        <w:t xml:space="preserve">Trapezia</w:t>
      </w:r>
      <w:r>
        <w:t xml:space="preserve"> </w:t>
      </w:r>
      <w:r>
        <w:t xml:space="preserve">spp.) defend corals from predatory sea stars and remove sediment (Glynn 1983; Stier et al. 2012), snapping shrimp (</w:t>
      </w:r>
      <w:r>
        <w:rPr>
          <w:i/>
          <w:iCs/>
        </w:rPr>
        <w:t xml:space="preserve">Alpheus</w:t>
      </w:r>
      <w:r>
        <w:t xml:space="preserve"> </w:t>
      </w:r>
      <w:r>
        <w:t xml:space="preserve">spp.) deter predators, coral-dwelling fishes subsidize host nutrition through ammonia-rich excretion (Holbrook et al. 2008; Shantz et al. 2023), and corallivorous gastropods consume tissue and facilitate disease (Boucher 1986; Nicolet et al. 2013). Because many CAFI are obligate associates that occupy colonies as territorial mating pairs (Castro 1978; Huber &amp; Coles 1986), intraspecific density on a single colony is effectively capped. As total occupancy rises on larger corals, growth comes predominantly from adding species rather than more conspecifics –</w:t>
      </w:r>
      <w:r>
        <w:t xml:space="preserve"> </w:t>
      </w:r>
      <w:r>
        <w:t xml:space="preserve">“species stacking,”</w:t>
      </w:r>
      <w:r>
        <w:t xml:space="preserve"> </w:t>
      </w:r>
      <w:r>
        <w:t xml:space="preserve">whereby intraspecific density ceilings force diversification (Stier et al. 2012). Species stacking generates a compositional prediction distinct from passive sampling: small-coral faunas should not be nested subsets of large-coral faunas, and colony volume should structure the identity of occupants, not just their number. CAFI abundance increases with colony volume but less than proportionally across coral genera and reef systems (Gotelli &amp; Abele 1985; Curtis et al. 2023; Harborne et al. 2011; Brush et al. 2026), and a companion experiment manipulating coral density found proportional scaling during active colonization but sublinear scaling in established communities (Stier et al. in review), suggesting that post-settlement processes shift the scaling regime as communities mature.</w:t>
      </w:r>
    </w:p>
    <w:p>
      <w:pPr>
        <w:pStyle w:val="BodyText"/>
      </w:pPr>
      <w:r>
        <w:t xml:space="preserve">Here, we survey 114</w:t>
      </w:r>
      <w:r>
        <w:t xml:space="preserve"> </w:t>
      </w:r>
      <w:r>
        <w:rPr>
          <w:i/>
          <w:iCs/>
        </w:rPr>
        <w:t xml:space="preserve">Pocillopora</w:t>
      </w:r>
      <w:r>
        <w:t xml:space="preserve"> </w:t>
      </w:r>
      <w:r>
        <w:t xml:space="preserve">colonies spanning three orders of magnitude in volume across three reef habitats on Mo’orea, French Polynesia, cataloging 3,989 individuals from 243 taxa to test three linked predictions. First, we predicted that CAFI abundance scales sublinearly with colony volume, consistent with Propagule Redirection, and that the raw species–area relationship reflects passive sampling rather than active species accumulation. If scaling is sublinear, species stacking predicts that composition should turn over – not merely accumulate – along the size gradient. We therefore predicted, second, that CAFI composition changes through species replacement rather than nestedness, with colony volume and host architecture structuring occupant identity beyond abundance alone. Third, we predicted that the resulting community variation covaries with coral condition: if functionally distinct residents – guard crabs, nutrient-subsidizing fishes, corallivorous gastropods – contribute complementary services, then diversity should predict condition beyond what abundance alone explains.</w:t>
      </w:r>
    </w:p>
    <w:p>
      <w:pPr>
        <w:pStyle w:val="BodyText"/>
      </w:pPr>
      <w:r>
        <w:t xml:space="preserve">Together, these predictions trace a chain from habitat quantity through density dilution and community assembly to habitat condition. If density dilution leaves large colonies with proportionally fewer mutualists and proportionally more antagonists, this chain has direct consequences wherever habitat loss or climate stress restructures the occupant communities that sustain biogenic habitats – a prediction made more urgent by the size-dependent vulnerability of large habitat-forming organisms to thermal stress (Speare et al. 2022), and as relevant to oyster reefs and forest canopies as to coral branches.</w:t>
      </w:r>
    </w:p>
    <w:p>
      <w:r>
        <w:pict>
          <v:rect style="width:0;height:1.5pt" o:hralign="center" o:hrstd="t" o:hr="t"/>
        </w:pict>
      </w:r>
    </w:p>
    <w:bookmarkEnd w:id="10"/>
    <w:bookmarkStart w:id="24" w:name="methods"/>
    <w:p>
      <w:pPr>
        <w:pStyle w:val="Heading2"/>
      </w:pPr>
      <w:r>
        <w:t xml:space="preserve">Methods</w:t>
      </w:r>
    </w:p>
    <w:bookmarkStart w:id="11" w:name="study-system-and-survey-design"/>
    <w:p>
      <w:pPr>
        <w:pStyle w:val="Heading3"/>
      </w:pPr>
      <w:r>
        <w:t xml:space="preserve">Study system and survey design</w:t>
      </w:r>
    </w:p>
    <w:p>
      <w:pPr>
        <w:pStyle w:val="FirstParagraph"/>
      </w:pPr>
      <w:r>
        <w:t xml:space="preserve">We surveyed 114</w:t>
      </w:r>
      <w:r>
        <w:t xml:space="preserve"> </w:t>
      </w:r>
      <w:r>
        <w:rPr>
          <w:i/>
          <w:iCs/>
        </w:rPr>
        <w:t xml:space="preserve">Pocillopora</w:t>
      </w:r>
      <w:r>
        <w:t xml:space="preserve"> </w:t>
      </w:r>
      <w:r>
        <w:t xml:space="preserve">coral colonies across three reef habitats on Mo’orea, French Polynesia (17°30’S, 149°50’W) during June–August 2019 (Fig. 1A). Colonies were identified to species using mitochondrial open reading frame (mtORF) haplotyping via PCR and restriction fragment analysis (101 of 114 successfully genotyped; 11 PCR failures, 2 missing samples). Haplotypes were assigned to species following</w:t>
      </w:r>
      <w:r>
        <w:t xml:space="preserve"> </w:t>
      </w:r>
      <w:r>
        <w:t xml:space="preserve">Johnston et al. (</w:t>
      </w:r>
      <w:hyperlink w:anchor="ref-JohnstonCunningBurgess2022">
        <w:r>
          <w:rPr>
            <w:rStyle w:val="Hyperlink"/>
          </w:rPr>
          <w:t xml:space="preserve">2022</w:t>
        </w:r>
      </w:hyperlink>
      <w:r>
        <w:t xml:space="preserve">)</w:t>
      </w:r>
      <w:r>
        <w:t xml:space="preserve">:</w:t>
      </w:r>
      <w:r>
        <w:t xml:space="preserve"> </w:t>
      </w:r>
      <w:r>
        <w:rPr>
          <w:i/>
          <w:iCs/>
        </w:rPr>
        <w:t xml:space="preserve">P. grandis</w:t>
      </w:r>
      <w:r>
        <w:t xml:space="preserve"> </w:t>
      </w:r>
      <w:r>
        <w:t xml:space="preserve">(n = 49),</w:t>
      </w:r>
      <w:r>
        <w:t xml:space="preserve"> </w:t>
      </w:r>
      <w:r>
        <w:rPr>
          <w:i/>
          <w:iCs/>
        </w:rPr>
        <w:t xml:space="preserve">P. meandrina</w:t>
      </w:r>
      <w:r>
        <w:t xml:space="preserve"> </w:t>
      </w:r>
      <w:r>
        <w:t xml:space="preserve">(n = 34),</w:t>
      </w:r>
      <w:r>
        <w:t xml:space="preserve"> </w:t>
      </w:r>
      <w:r>
        <w:rPr>
          <w:i/>
          <w:iCs/>
        </w:rPr>
        <w:t xml:space="preserve">P. tuahiniensis</w:t>
      </w:r>
      <w:r>
        <w:t xml:space="preserve"> </w:t>
      </w:r>
      <w:r>
        <w:t xml:space="preserve">(n = 7), and</w:t>
      </w:r>
      <w:r>
        <w:t xml:space="preserve"> </w:t>
      </w:r>
      <w:r>
        <w:rPr>
          <w:i/>
          <w:iCs/>
        </w:rPr>
        <w:t xml:space="preserve">P. verrucosa</w:t>
      </w:r>
      <w:r>
        <w:t xml:space="preserve"> </w:t>
      </w:r>
      <w:r>
        <w:t xml:space="preserve">(n = 10). Field morphotype identifications showed limited concordance with genetic species assignments (Table S15), consistent with the well-documented cryptic species problem in</w:t>
      </w:r>
      <w:r>
        <w:t xml:space="preserve"> </w:t>
      </w:r>
      <w:r>
        <w:rPr>
          <w:i/>
          <w:iCs/>
        </w:rPr>
        <w:t xml:space="preserve">Pocillopora</w:t>
      </w:r>
      <w:r>
        <w:t xml:space="preserve"> </w:t>
      </w:r>
      <w:r>
        <w:t xml:space="preserve">(</w:t>
      </w:r>
      <w:hyperlink w:anchor="ref-Burgess2021">
        <w:r>
          <w:rPr>
            <w:rStyle w:val="Hyperlink"/>
          </w:rPr>
          <w:t xml:space="preserve">Burgess et al., 2021</w:t>
        </w:r>
      </w:hyperlink>
      <w:r>
        <w:t xml:space="preserve">)</w:t>
      </w:r>
      <w:r>
        <w:t xml:space="preserve">. We selected sites to span the range of reef environments: Hauru (HAU; fringing reef, north shore; n = 38), Maatea (MAT; lagoon/back reef, east shore; n = 39), and Maharepa (MRB; barrier reef, north shore; n = 37). At each site, divers targeted small, medium, and large colonies to ensure coverage of the three-order-of-magnitude size gradient. Two MRB colonies lacked volume measurements and were excluded from size-dependent analyses (n = 112; MRB n = 35).</w:t>
      </w:r>
    </w:p>
    <w:bookmarkEnd w:id="11"/>
    <w:bookmarkStart w:id="12" w:name="coral-measurements"/>
    <w:p>
      <w:pPr>
        <w:pStyle w:val="Heading3"/>
      </w:pPr>
      <w:r>
        <w:t xml:space="preserve">Coral measurements</w:t>
      </w:r>
    </w:p>
    <w:p>
      <w:pPr>
        <w:pStyle w:val="FirstParagraph"/>
      </w:pPr>
      <w:r>
        <w:t xml:space="preserve">We estimated colony size as ellipsoidal volume: V = (4/3) × π × (L/2) × (W/2) × (H/2), where L, W, and H are maximum length, width, and height (cm). The ellipsoidal approximation is standard for</w:t>
      </w:r>
      <w:r>
        <w:t xml:space="preserve"> </w:t>
      </w:r>
      <w:r>
        <w:rPr>
          <w:i/>
          <w:iCs/>
        </w:rPr>
        <w:t xml:space="preserve">Pocillopora</w:t>
      </w:r>
      <w:r>
        <w:t xml:space="preserve">, which have roughly symmetrical branching morphology; it includes interstitial space, but this proportional bias does not affect log-linear scaling estimates. Colony volumes ranged from 21 to 42,333 cm³ (Fig. 1B).</w:t>
      </w:r>
    </w:p>
    <w:p>
      <w:pPr>
        <w:pStyle w:val="BodyText"/>
      </w:pPr>
      <w:r>
        <w:t xml:space="preserve">For 61 of the 114 colonies (</w:t>
      </w:r>
      <w:r>
        <w:t xml:space="preserve">“neighborhood corals”</w:t>
      </w:r>
      <w:r>
        <w:t xml:space="preserve">), we counted all</w:t>
      </w:r>
      <w:r>
        <w:t xml:space="preserve"> </w:t>
      </w:r>
      <w:r>
        <w:rPr>
          <w:i/>
          <w:iCs/>
        </w:rPr>
        <w:t xml:space="preserve">Pocillopora</w:t>
      </w:r>
      <w:r>
        <w:t xml:space="preserve"> </w:t>
      </w:r>
      <w:r>
        <w:t xml:space="preserve">neighbors within a 5-m radius and measured inter-colony distances. We surveyed the remaining 53 colonies for CAFI and colony volume only. Neighbor count ranged from 1 to 76 (median = 17; Fig. 1C).</w:t>
      </w:r>
    </w:p>
    <w:bookmarkEnd w:id="12"/>
    <w:bookmarkStart w:id="13" w:name="cafi-collection-and-identification"/>
    <w:p>
      <w:pPr>
        <w:pStyle w:val="Heading3"/>
      </w:pPr>
      <w:r>
        <w:t xml:space="preserve">CAFI collection and identification</w:t>
      </w:r>
    </w:p>
    <w:p>
      <w:pPr>
        <w:pStyle w:val="FirstParagraph"/>
      </w:pPr>
      <w:r>
        <w:t xml:space="preserve">We extracted CAFI by enclosing each colony in a fine-mesh bag, detaching it from the substrate, and preserving all contents in 95% ethanol; macroboring and deeply cryptic fauna embedded within the skeleton were excluded. Specimens were identified to the lowest practical taxonomic level (154 to species, 89 to genus or higher), yielding 243 operational taxonomic units (OTUs; two unresolved fish morphotypes were pooled as a single OTU) from 3,989 individuals. Species richness and Shannon diversity (H’) were computed per colony. Rarefied richness (expected species at n = 20 individuals; vegan::rarefy; Oksanen et al. 2022) controlled for the correlation between abundance and raw richness.</w:t>
      </w:r>
    </w:p>
    <w:bookmarkEnd w:id="13"/>
    <w:bookmarkStart w:id="14" w:name="coral-physiological-condition"/>
    <w:p>
      <w:pPr>
        <w:pStyle w:val="Heading3"/>
      </w:pPr>
      <w:r>
        <w:t xml:space="preserve">Coral physiological condition</w:t>
      </w:r>
    </w:p>
    <w:p>
      <w:pPr>
        <w:pStyle w:val="FirstParagraph"/>
      </w:pPr>
      <w:r>
        <w:t xml:space="preserve">We collected tissue samples from the upper branch of each colony and assayed total protein (mg cm⁻²), carbohydrate (mg cm⁻²), zooxanthellae density (cells cm⁻²), and ash-free dry weight (AFDW; mg cm⁻²). Because trait values vary with the position of the tissue sample along the branch (see Supplementary Methods), we regressed each trait on stump length and nubbin length and used the residuals as position-corrected values. We summarized condition as PCA axis 1 of the four corrected traits (61.6% of variance; all loadings positive). Physiology data were available for 108 colonies; after removing incomplete cases, 84 were retained for BEF analyses. Position measurements were unavailable for 10 Maharepa colonies, reducing site balance in the BEF subsample.</w:t>
      </w:r>
    </w:p>
    <w:bookmarkEnd w:id="14"/>
    <w:bookmarkStart w:id="23" w:name="statistical-analyses"/>
    <w:p>
      <w:pPr>
        <w:pStyle w:val="Heading3"/>
      </w:pPr>
      <w:r>
        <w:t xml:space="preserve">Statistical analyses</w:t>
      </w:r>
    </w:p>
    <w:p>
      <w:pPr>
        <w:pStyle w:val="FirstParagraph"/>
      </w:pPr>
      <w:r>
        <w:t xml:space="preserve">All analyses were conducted in R v4.4 (session information archived at [DOI to be assigned upon acceptance]). Natural logarithms were used throughout; site was included as a fixed effect (three sites provide too few levels for random intercepts; Bolker et al. 2009).</w:t>
      </w:r>
      <w:r>
        <w:t xml:space="preserve"> </w:t>
      </w:r>
      <w:r>
        <w:t xml:space="preserve">We applied three levels of multiple-testing correction: (1) Hochberg step-up for two pre-specified BEF predictors (richness, total abundance; k = 2); (2) Benjamini–Hochberg FDR for four exploratory predictors (Shannon diversity,</w:t>
      </w:r>
      <w:r>
        <w:t xml:space="preserve"> </w:t>
      </w:r>
      <w:r>
        <w:rPr>
          <w:i/>
          <w:iCs/>
        </w:rPr>
        <w:t xml:space="preserve">Trapezia</w:t>
      </w:r>
      <w:r>
        <w:t xml:space="preserve">, fish, and</w:t>
      </w:r>
      <w:r>
        <w:t xml:space="preserve"> </w:t>
      </w:r>
      <w:r>
        <w:rPr>
          <w:i/>
          <w:iCs/>
        </w:rPr>
        <w:t xml:space="preserve">Galeropsis</w:t>
      </w:r>
      <w:r>
        <w:t xml:space="preserve"> </w:t>
      </w:r>
      <w:r>
        <w:t xml:space="preserve">Blainville, 1832 abundance; k = 4); and (3) FDR across all species in species-level analyses. GLM diagnostics included simulated residuals (DHARMa), Cook’s distance (4/n), and variance inflation factors. All tests used α = 0.05. Code is available at [URL to be provided upon acceptance].</w:t>
      </w:r>
    </w:p>
    <w:bookmarkStart w:id="15" w:name="q1-scaling-of-cafi-with-coral-size"/>
    <w:p>
      <w:pPr>
        <w:pStyle w:val="Heading4"/>
      </w:pPr>
      <w:r>
        <w:t xml:space="preserve">Q1: Scaling of CAFI with coral size</w:t>
      </w:r>
    </w:p>
    <w:p>
      <w:pPr>
        <w:pStyle w:val="FirstParagraph"/>
      </w:pPr>
      <w:r>
        <w:t xml:space="preserve">We tested how CAFI abundance scales with coral volume by fitting the power-law relationship N = aV</w:t>
      </w:r>
      <w:r>
        <w:rPr>
          <w:vertAlign w:val="superscript"/>
        </w:rPr>
        <w:t xml:space="preserve">β</w:t>
      </w:r>
      <w:r>
        <w:t xml:space="preserve"> </w:t>
      </w:r>
      <w:r>
        <w:t xml:space="preserve">using a negative binomial GLM (log link; negative binomial to accommodate overdispersion in count data):</w:t>
      </w:r>
    </w:p>
    <w:p>
      <w:pPr>
        <w:pStyle w:val="SourceCode"/>
      </w:pPr>
      <w:r>
        <w:rPr>
          <w:rStyle w:val="VerbatimChar"/>
        </w:rPr>
        <w:t xml:space="preserve">total_cafi ~ log(volume) + site</w:t>
      </w:r>
    </w:p>
    <w:p>
      <w:pPr>
        <w:pStyle w:val="FirstParagraph"/>
      </w:pPr>
      <w:r>
        <w:t xml:space="preserve">where the coefficient on log(volume) directly estimates β. We tested three hypotheses: Field of Dreams (β = 1; proportional scaling), Propagule Redirection (β &lt; 1; sublinear, density dilution; Stier &amp; Osenberg 2010), and super-linear scaling (β &gt; 1). The null (β = 1) was tested using a Wald test (</w:t>
      </w:r>
      <w:r>
        <w:rPr>
          <w:i/>
          <w:iCs/>
        </w:rPr>
        <w:t xml:space="preserve">z</w:t>
      </w:r>
      <w:r>
        <w:rPr>
          <w:vertAlign w:val="subscript"/>
        </w:rPr>
        <w:t xml:space="preserve">Wald</w:t>
      </w:r>
      <w:r>
        <w:t xml:space="preserve"> </w:t>
      </w:r>
      <w:r>
        <w:t xml:space="preserve">= [β − 1]/SE) and a two-sided bootstrap proportion test (1,000 site-stratified replicates). Bootstrap BCa confidence intervals served as the primary inference; percentile CIs were substituted where BCa acceleration constants could not be estimated. Species richness was modeled analogously using a Poisson GLM, yielding the species–area relationship exponent</w:t>
      </w:r>
      <w:r>
        <w:t xml:space="preserve"> </w:t>
      </w:r>
      <w:r>
        <w:rPr>
          <w:i/>
          <w:iCs/>
        </w:rPr>
        <w:t xml:space="preserve">z</w:t>
      </w:r>
      <w:r>
        <w:t xml:space="preserve"> </w:t>
      </w:r>
      <w:r>
        <w:t xml:space="preserve">(S = c × V</w:t>
      </w:r>
      <w:r>
        <w:rPr>
          <w:i/>
          <w:iCs/>
          <w:vertAlign w:val="superscript"/>
        </w:rPr>
        <w:t xml:space="preserve">z</w:t>
      </w:r>
      <w:r>
        <w:t xml:space="preserve">; Preston 1962). Throughout,</w:t>
      </w:r>
      <w:r>
        <w:t xml:space="preserve"> </w:t>
      </w:r>
      <w:r>
        <w:rPr>
          <w:i/>
          <w:iCs/>
        </w:rPr>
        <w:t xml:space="preserve">z</w:t>
      </w:r>
      <w:r>
        <w:t xml:space="preserve"> </w:t>
      </w:r>
      <w:r>
        <w:t xml:space="preserve">refers to this SAR exponent; Wald z-statistics are denoted</w:t>
      </w:r>
      <w:r>
        <w:t xml:space="preserve"> </w:t>
      </w:r>
      <w:r>
        <w:rPr>
          <w:i/>
          <w:iCs/>
        </w:rPr>
        <w:t xml:space="preserve">z</w:t>
      </w:r>
      <w:r>
        <w:rPr>
          <w:vertAlign w:val="subscript"/>
        </w:rPr>
        <w:t xml:space="preserve">Wald</w:t>
      </w:r>
      <w:r>
        <w:t xml:space="preserve">. Rarefied richness (expected species at n = 20 individuals; available for 68 of 112 colonies with ≥20 CAFI) was regressed on log(volume) using OLS.</w:t>
      </w:r>
      <w:r>
        <w:t xml:space="preserve"> </w:t>
      </w:r>
      <w:r>
        <w:t xml:space="preserve">Per-capita CAFI density (total CAFI / colony volume) equals β − 1 on the log–log scale by definition and was not independently modeled.</w:t>
      </w:r>
    </w:p>
    <w:p>
      <w:pPr>
        <w:pStyle w:val="BodyText"/>
      </w:pPr>
      <w:r>
        <w:t xml:space="preserve">The scaling analysis was repeated for 21 prevalent species (≥30 individuals and ≥15% prevalence) and six taxonomic groups (</w:t>
      </w:r>
      <w:r>
        <w:rPr>
          <w:i/>
          <w:iCs/>
        </w:rPr>
        <w:t xml:space="preserve">Trapezia</w:t>
      </w:r>
      <w:r>
        <w:t xml:space="preserve"> </w:t>
      </w:r>
      <w:r>
        <w:t xml:space="preserve">crabs, shrimps, other crabs, gastropods, fish, other invertebrates). We computed an inverse-variance-weighted mean β as a fixed-effect summary (weights = 1/SE²); because species co-occur on the same corals, the SE may be underestimated. We applied FDR correction within species-level and group-level test families and characterized size-dependent occurrence using logistic GLMs (presence ~ log(volume) + site) for 24 species with ≥15% prevalence.</w:t>
      </w:r>
    </w:p>
    <w:bookmarkEnd w:id="15"/>
    <w:bookmarkStart w:id="16" w:name="q2-community-composition"/>
    <w:p>
      <w:pPr>
        <w:pStyle w:val="Heading4"/>
      </w:pPr>
      <w:r>
        <w:t xml:space="preserve">Q2: Community composition</w:t>
      </w:r>
    </w:p>
    <w:p>
      <w:pPr>
        <w:pStyle w:val="FirstParagraph"/>
      </w:pPr>
      <w:r>
        <w:t xml:space="preserve">We analyzed community composition for the 112 colonies with volume data. Species abundances were Hellinger-transformed (Legendre &amp; Gallagher 2001). We tested for compositional differences using marginal (Type III) PERMANOVA (vegan::adonis2) on Bray–Curtis dissimilarities with 999 permutations, including log(volume) and site. We assessed dispersion homogeneity with permutational analysis of multivariate dispersions (PERMDISP; vegan::betadisper). We used two-dimensional NMDS ordination for visualization and identified species associated with site differences using envfit (R² &gt; 0.10, p &lt; 0.01). We compared sites pairwise using Bonferroni-corrected PERMANOVA (k = 3) and validated robustness across five distance metrics and 500 balanced site-subsampling iterations (Fig. S2; Supplementary Methods).</w:t>
      </w:r>
    </w:p>
    <w:p>
      <w:pPr>
        <w:pStyle w:val="BodyText"/>
      </w:pPr>
      <w:r>
        <w:t xml:space="preserve">To test whether composition shifts continuously along the size gradient, we used distance-based redundancy analysis (db-RDA, a constrained ordination partitioning community variation by environmental predictors; vegan::dbrda) with log(volume) as the constrained variable and site partialed out. Variance partitioning (vegan::varpart) decomposed community variation into volume-only, site-only, shared, and residual fractions. We computed species scores on the constrained axis as weighted averages of site scores and verified robustness by repeating the db-RDA on iterated-rarefied distances (100 iterations at minimum observed abundance; Supplementary Methods). We tested nestedness using the nestedness metric based on overlap and decreasing fill (NODF; Almeida-Neto et al. 2008) against 999 quasiswap null matrices (Miklós &amp; Podani 2004). We decomposed total beta diversity into turnover (Simpson dissimilarity) and nestedness-resultant components using the betapart package (Baselga 2010).</w:t>
      </w:r>
    </w:p>
    <w:bookmarkEnd w:id="16"/>
    <w:bookmarkStart w:id="17" w:name="Xb3e9061766c7fd543f79a2d8ab149427a846e8c"/>
    <w:p>
      <w:pPr>
        <w:pStyle w:val="Heading4"/>
      </w:pPr>
      <w:r>
        <w:t xml:space="preserve">Q3: CAFI species richness and coral condition (BEF framework)</w:t>
      </w:r>
    </w:p>
    <w:p>
      <w:pPr>
        <w:pStyle w:val="FirstParagraph"/>
      </w:pPr>
      <w:r>
        <w:t xml:space="preserve">We tested whether CAFI diversity predicts coral condition using a biodiversity–ecosystem function (BEF) framework (Tilman et al. 2014). Forward models testing CAFI effects on condition took the form:</w:t>
      </w:r>
    </w:p>
    <w:p>
      <w:pPr>
        <w:pStyle w:val="SourceCode"/>
      </w:pPr>
      <w:r>
        <w:rPr>
          <w:rStyle w:val="VerbatimChar"/>
        </w:rPr>
        <w:t xml:space="preserve">condition_PC1 ~ CAFI_predictor + log(volume) + site</w:t>
      </w:r>
    </w:p>
    <w:p>
      <w:pPr>
        <w:pStyle w:val="FirstParagraph"/>
      </w:pPr>
      <w:r>
        <w:t xml:space="preserve">with OLS standard errors as primary inference. Breusch–Pagan tests confirmed homoscedasticity (BP p &gt; 0.5); HC3 standard errors are reported in the supplement as a sensitivity check (Long &amp; Ervin 2000). Count-based predictors (total abundance,</w:t>
      </w:r>
      <w:r>
        <w:t xml:space="preserve"> </w:t>
      </w:r>
      <w:r>
        <w:rPr>
          <w:i/>
          <w:iCs/>
        </w:rPr>
        <w:t xml:space="preserve">Trapezia</w:t>
      </w:r>
      <w:r>
        <w:t xml:space="preserve">, fish,</w:t>
      </w:r>
      <w:r>
        <w:t xml:space="preserve"> </w:t>
      </w:r>
      <w:r>
        <w:rPr>
          <w:i/>
          <w:iCs/>
        </w:rPr>
        <w:t xml:space="preserve">Galeropsis</w:t>
      </w:r>
      <w:r>
        <w:t xml:space="preserve"> </w:t>
      </w:r>
      <w:r>
        <w:t xml:space="preserve">counts) were square-root transformed; species richness was untransformed.</w:t>
      </w:r>
    </w:p>
    <w:p>
      <w:pPr>
        <w:pStyle w:val="BodyText"/>
      </w:pPr>
      <w:r>
        <w:t xml:space="preserve">To disentangle diversity from abundance effects, we used partial regression (richness + √abundance in the same model), hierarchical R² variance partitioning, and a piecewise structural equation model (piecewiseSEM; Lefcheck 2016) with volume → richness → condition and volume → abundance → condition pathways (z-scored predictors; Fisher’s C fit). To test whether the richness–condition relationship was an abundance artifact, we compared models using raw versus rarefied richness (n = 20; reducing available sample from 84 to 47). The interpretive ambiguity of this comparison is addressed in the Discussion.</w:t>
      </w:r>
    </w:p>
    <w:p>
      <w:pPr>
        <w:pStyle w:val="BodyText"/>
      </w:pPr>
      <w:r>
        <w:t xml:space="preserve">We tested whether the richness effect operates through abundance using bootstrap mediation analysis (mediation package; 1,000 iterations; treatment = richness, mediator = √abundance, outcome = condition). As sensitivity checks, we added coral morphotype and genetic species identity (mtORF haplotype) as covariates in separate models to assess whether host identity confounds the richness–condition association (Tables S13, S15). Species-specific contributions were tested for 19 prevalent species (≥5 corals; trait ~ √(species abundance) + log(volume) + site) across five condition measures, with FDR correction across all 95 tests. Reverse models (condition → CAFI) tested seven response variables with FDR correction. Cross-study concordance with the companion experiment was evaluated with a binomial test, and power analysis confirmed sufficient sample size to detect the experiment’s effect sizes (Supplementary Methods).</w:t>
      </w:r>
    </w:p>
    <w:bookmarkEnd w:id="17"/>
    <w:bookmarkStart w:id="18" w:name="neighborhood-context"/>
    <w:p>
      <w:pPr>
        <w:pStyle w:val="Heading4"/>
      </w:pPr>
      <w:r>
        <w:t xml:space="preserve">Neighborhood context</w:t>
      </w:r>
    </w:p>
    <w:p>
      <w:pPr>
        <w:pStyle w:val="FirstParagraph"/>
      </w:pPr>
      <w:r>
        <w:t xml:space="preserve">Using the 61 neighborhood-surveyed colonies, we fitted full models with four predictors: log(volume), neighbor count (</w:t>
      </w:r>
      <w:r>
        <w:rPr>
          <w:i/>
          <w:iCs/>
        </w:rPr>
        <w:t xml:space="preserve">Pocillopora</w:t>
      </w:r>
      <w:r>
        <w:t xml:space="preserve"> </w:t>
      </w:r>
      <w:r>
        <w:t xml:space="preserve">within 5 m), total neighbor volume, and mean inter-colony distance, plus site. Abundance was modeled with negative binomial GLMs, richness with Poisson GLMs, and Shannon diversity with OLS; AIC-based backward elimination identified the best predictor subset. The distance–richness relationship was retested using rarefied richness (n = 20; available for 39 colonies with ≥20 individuals). Size × neighborhood interactions and functional group responses were tested with FDR correction. Compositional variability across neighbor density was assessed with PERMDISP. Power analysis indicated 65% power for medium effects (R² = 0.10) at n = 61 (Supplementary Methods).</w:t>
      </w:r>
    </w:p>
    <w:bookmarkEnd w:id="18"/>
    <w:bookmarkStart w:id="19" w:name="co-occurrence-patterns-supplement"/>
    <w:p>
      <w:pPr>
        <w:pStyle w:val="Heading4"/>
      </w:pPr>
      <w:r>
        <w:t xml:space="preserve">Co-occurrence patterns (Supplement)</w:t>
      </w:r>
    </w:p>
    <w:p>
      <w:pPr>
        <w:pStyle w:val="FirstParagraph"/>
      </w:pPr>
      <w:r>
        <w:t xml:space="preserve">We tested pairwise co-occurrence using a volume-weighted Bernoulli null model (10,000 iterations; species with ≥10 occurrences; Stier et al. 2012) with FDR correction across all pairs. We tested intraspecific density patterns with a multinomial allocation null model and assessed size-dependent co-occurrence by repeating the null model within volume terciles. Full null-model algorithms are described in Supplementary Methods.</w:t>
      </w:r>
    </w:p>
    <w:bookmarkEnd w:id="19"/>
    <w:bookmarkStart w:id="20" w:name="sensitivity-analyses"/>
    <w:p>
      <w:pPr>
        <w:pStyle w:val="Heading4"/>
      </w:pPr>
      <w:r>
        <w:t xml:space="preserve">Sensitivity analyses</w:t>
      </w:r>
    </w:p>
    <w:p>
      <w:pPr>
        <w:pStyle w:val="FirstParagraph"/>
      </w:pPr>
      <w:r>
        <w:t xml:space="preserve">We tested all results for robustness across five taxonomic resolution scenarios (baseline 243 taxa, species-only, merge-up, lump-down, rare-excluded; Fig. S6; Table S8) and assessed spatial autocorrelation using Moran’s I (Table S9).</w:t>
      </w:r>
    </w:p>
    <w:bookmarkEnd w:id="20"/>
    <w:bookmarkStart w:id="21" w:name="ethical-statement"/>
    <w:p>
      <w:pPr>
        <w:pStyle w:val="Heading4"/>
      </w:pPr>
      <w:r>
        <w:t xml:space="preserve">Ethical statement</w:t>
      </w:r>
    </w:p>
    <w:p>
      <w:pPr>
        <w:pStyle w:val="FirstParagraph"/>
      </w:pPr>
      <w:r>
        <w:t xml:space="preserve">Research was conducted under permits issued by the Haut-commissariat de la République en Polynésie française, in collaboration with the Université de la Polynésie française (CRIOBE). All protocols followed institutional and local regulations for scientific collection on the reefs of Mo’orea. Invertebrate collections did not require IACUC review; coral tissue sampling protocols were approved under broader program oversight at the authors’ institution.</w:t>
      </w:r>
    </w:p>
    <w:bookmarkEnd w:id="21"/>
    <w:bookmarkStart w:id="22" w:name="data-accessibility"/>
    <w:p>
      <w:pPr>
        <w:pStyle w:val="Heading4"/>
      </w:pPr>
      <w:r>
        <w:t xml:space="preserve">Data accessibility</w:t>
      </w:r>
    </w:p>
    <w:p>
      <w:pPr>
        <w:pStyle w:val="FirstParagraph"/>
      </w:pPr>
      <w:r>
        <w:t xml:space="preserve">Data and analysis code are available at [DOI to be assigned upon acceptance]. Data and code will be archived in the Dryad Digital Repository upon acceptance.</w:t>
      </w:r>
    </w:p>
    <w:p>
      <w:r>
        <w:pict>
          <v:rect style="width:0;height:1.5pt" o:hralign="center" o:hrstd="t" o:hr="t"/>
        </w:pict>
      </w:r>
    </w:p>
    <w:bookmarkEnd w:id="22"/>
    <w:bookmarkEnd w:id="23"/>
    <w:bookmarkEnd w:id="24"/>
    <w:bookmarkStart w:id="27" w:name="results"/>
    <w:p>
      <w:pPr>
        <w:pStyle w:val="Heading2"/>
      </w:pPr>
      <w:r>
        <w:t xml:space="preserve">Results</w:t>
      </w:r>
    </w:p>
    <w:bookmarkStart w:id="25" w:name="Xf17f1ba8087db535e0e435dad8ab711b14f3815"/>
    <w:p>
      <w:pPr>
        <w:pStyle w:val="Heading3"/>
      </w:pPr>
      <w:r>
        <w:t xml:space="preserve">Q1: CAFI abundance and richness scale sublinearly with coral size</w:t>
      </w:r>
    </w:p>
    <w:p>
      <w:pPr>
        <w:pStyle w:val="FirstParagraph"/>
      </w:pPr>
      <w:r>
        <w:t xml:space="preserve">Total CAFI abundance scaled sublinearly with colony volume (n = 112; β = 0.52, 95% bootstrap CI [0.44, 0.62]; p &lt; 0.001 vs β = 1; Fig. 2A), consistent with Propagule Redirection: corals doubling in volume gained only ~43% more CAFI. Per-capita density declined accordingly (slope = −0.48; Fig. 2B). Species richness also scaled sublinearly (z = 0.34 [0.27, 0.42], p &lt; 0.001; Fig. 2C), but rarefied richness showed no relationship with volume (p = 0.64, n = 68), indicating that the raw richness signal is tightly coupled to the abundance gradient.</w:t>
      </w:r>
    </w:p>
    <w:p>
      <w:pPr>
        <w:pStyle w:val="BodyText"/>
      </w:pPr>
      <w:r>
        <w:t xml:space="preserve">Sublinear scaling extended to individual species: 11 of 21 prevalent species showed Redirection, 10 were consistent with Field of Dreams, and none showed super-linear scaling (Fig. 3A,C; Fig. S4; Table S1). Obligate symbionts—</w:t>
      </w:r>
      <w:r>
        <w:rPr>
          <w:i/>
          <w:iCs/>
        </w:rPr>
        <w:t xml:space="preserve">Trapezia</w:t>
      </w:r>
      <w:r>
        <w:t xml:space="preserve"> </w:t>
      </w:r>
      <w:r>
        <w:t xml:space="preserve">(β = 0.43) and</w:t>
      </w:r>
      <w:r>
        <w:t xml:space="preserve"> </w:t>
      </w:r>
      <w:r>
        <w:rPr>
          <w:i/>
          <w:iCs/>
        </w:rPr>
        <w:t xml:space="preserve">Alpheus lottini</w:t>
      </w:r>
      <w:r>
        <w:t xml:space="preserve"> </w:t>
      </w:r>
      <w:r>
        <w:t xml:space="preserve">(β = 0.37)—consistently scaled sublinearly, while facultative associates such as</w:t>
      </w:r>
      <w:r>
        <w:t xml:space="preserve"> </w:t>
      </w:r>
      <w:r>
        <w:rPr>
          <w:i/>
          <w:iCs/>
        </w:rPr>
        <w:t xml:space="preserve">Galeropsis monodonta</w:t>
      </w:r>
      <w:r>
        <w:t xml:space="preserve"> </w:t>
      </w:r>
      <w:r>
        <w:t xml:space="preserve">(β = 1.27) scaled proportionally.</w:t>
      </w:r>
    </w:p>
    <w:p>
      <w:pPr>
        <w:pStyle w:val="BodyText"/>
      </w:pPr>
      <w:r>
        <w:t xml:space="preserve">Five of six taxonomic groups scaled sublinearly (β range 0.43–0.74; Fig. 3B,D); gastropods were the sole exception (β = 0.94, CI spanning 1.0). Size-dependent occurrence reinforced these patterns: 14 of 24 prevalent species showed significant occurrence–volume relationships (logistic GLM, FDR &lt; 0.05). All results were robust to taxonomic resolution (Fig. S6).</w:t>
      </w:r>
    </w:p>
    <w:bookmarkEnd w:id="25"/>
    <w:bookmarkStart w:id="26" w:name="neighborhood-context-1"/>
    <w:p>
      <w:pPr>
        <w:pStyle w:val="Heading3"/>
      </w:pPr>
      <w:r>
        <w:t xml:space="preserve">Neighborhood context</w:t>
      </w:r>
    </w:p>
    <w:p>
      <w:pPr>
        <w:pStyle w:val="FirstParagraph"/>
      </w:pPr>
      <w:r>
        <w:t xml:space="preserve">Among the 61 colonies with neighborhood surveys (5-m radius), closer neighbors predicted higher richness (β = −0.005, z = −3.20, p = 0.001) and Shannon diversity (p = 0.001), but not total abundance (p = 0.78; Fig. S5; Table S4). Neither neighbor count nor total neighbor volume predicted any response (all p &gt; 0.37). The distance–richness relationship survived rarefaction (n = 39, p = 0.005), confirming genuine species accumulation rather than a passive sampling artifact.</w:t>
      </w:r>
    </w:p>
    <w:p>
      <w:pPr>
        <w:pStyle w:val="BodyText"/>
      </w:pPr>
      <w:r>
        <w:t xml:space="preserve">Beyond shaping how many species a colony hosts, colony size also structures which species are present.</w:t>
      </w:r>
    </w:p>
    <w:bookmarkEnd w:id="26"/>
    <w:bookmarkEnd w:id="27"/>
    <w:bookmarkStart w:id="29" w:name="Xcb6d5a45f16b1978bd030ce923bb5df44c89a11"/>
    <w:p>
      <w:pPr>
        <w:pStyle w:val="Heading2"/>
      </w:pPr>
      <w:r>
        <w:t xml:space="preserve">Q2: Site pools and coral size structure community composition</w:t>
      </w:r>
    </w:p>
    <w:p>
      <w:pPr>
        <w:pStyle w:val="FirstParagraph"/>
      </w:pPr>
      <w:r>
        <w:t xml:space="preserve">Marginal PERMANOVA confirmed that both site and colony size structured CAFI composition (volume R² = 0.08, site R² = 0.06, both p = 0.001; n = 112; PERMDISP p = 0.42), together explaining ~14% of variation. The site effect was robust across five distance metrics and balanced subsampling (Fig. S2). The three sites exhibited distinct taxonomic signatures (Fig. 4B): Maatea was characterized by hermit crabs (33% of CAFI), Maharepa by obligate symbionts (71%), and Hauru by fishes (12%). Species vector fitting (envfit) identified</w:t>
      </w:r>
      <w:r>
        <w:t xml:space="preserve"> </w:t>
      </w:r>
      <w:r>
        <w:rPr>
          <w:i/>
          <w:iCs/>
        </w:rPr>
        <w:t xml:space="preserve">Trapezia punctimanus</w:t>
      </w:r>
      <w:r>
        <w:t xml:space="preserve"> </w:t>
      </w:r>
      <w:r>
        <w:t xml:space="preserve">(R² = 0.53),</w:t>
      </w:r>
      <w:r>
        <w:t xml:space="preserve"> </w:t>
      </w:r>
      <w:r>
        <w:rPr>
          <w:i/>
          <w:iCs/>
        </w:rPr>
        <w:t xml:space="preserve">Harpiliopsis beaupresii</w:t>
      </w:r>
      <w:r>
        <w:t xml:space="preserve"> </w:t>
      </w:r>
      <w:r>
        <w:t xml:space="preserve">(R² = 0.30), and</w:t>
      </w:r>
      <w:r>
        <w:t xml:space="preserve"> </w:t>
      </w:r>
      <w:r>
        <w:rPr>
          <w:i/>
          <w:iCs/>
        </w:rPr>
        <w:t xml:space="preserve">Paragobiodon modestus</w:t>
      </w:r>
      <w:r>
        <w:t xml:space="preserve"> </w:t>
      </w:r>
      <w:r>
        <w:t xml:space="preserve">(R² = 0.25) as the strongest drivers.</w:t>
      </w:r>
    </w:p>
    <w:p>
      <w:pPr>
        <w:pStyle w:val="BodyText"/>
      </w:pPr>
      <w:r>
        <w:t xml:space="preserve">Community composition also shifted continuously along the coral size gradient. Distance-based redundancy analysis (db-RDA; n = 112), after partialing out site effects, confirmed that coral volume explained 7.8% of compositional variation (p = 0.001; Fig. 4A). This size–composition gradient was robust to rarefaction (mean R² = 2.4% across 100 rarefaction draws, F₁,₁₀₈ = 2.64, p = 0.001), confirming genuine compositional turnover rather than an abundance artifact.</w:t>
      </w:r>
    </w:p>
    <w:p>
      <w:pPr>
        <w:pStyle w:val="BodyText"/>
      </w:pPr>
      <w:r>
        <w:rPr>
          <w:i/>
          <w:iCs/>
        </w:rPr>
        <w:t xml:space="preserve">Trapezia punctimanus</w:t>
      </w:r>
      <w:r>
        <w:t xml:space="preserve"> </w:t>
      </w:r>
      <w:r>
        <w:t xml:space="preserve">(db-RDA score = −2.95) and</w:t>
      </w:r>
      <w:r>
        <w:t xml:space="preserve"> </w:t>
      </w:r>
      <w:r>
        <w:rPr>
          <w:i/>
          <w:iCs/>
        </w:rPr>
        <w:t xml:space="preserve">Luniella pugil</w:t>
      </w:r>
      <w:r>
        <w:t xml:space="preserve"> </w:t>
      </w:r>
      <w:r>
        <w:t xml:space="preserve">(−1.71) loaded toward smaller corals, while</w:t>
      </w:r>
      <w:r>
        <w:t xml:space="preserve"> </w:t>
      </w:r>
      <w:r>
        <w:rPr>
          <w:i/>
          <w:iCs/>
        </w:rPr>
        <w:t xml:space="preserve">Euplica varians</w:t>
      </w:r>
      <w:r>
        <w:t xml:space="preserve"> </w:t>
      </w:r>
      <w:r>
        <w:t xml:space="preserve">and</w:t>
      </w:r>
      <w:r>
        <w:t xml:space="preserve"> </w:t>
      </w:r>
      <w:r>
        <w:rPr>
          <w:i/>
          <w:iCs/>
        </w:rPr>
        <w:t xml:space="preserve">Trapezia flavopunctata</w:t>
      </w:r>
      <w:r>
        <w:t xml:space="preserve"> </w:t>
      </w:r>
      <w:r>
        <w:t xml:space="preserve">(1.06) loaded toward larger corals. Variance partitioning attributed 4.8% to volume alone, 3.9% shared with site, and 91.5% residual. Compositional divergence among size classes was not significant after rarefaction (PERMDISP: p = 0.61; Fig. S3), confirming that apparent convergence of large-coral assemblages reflects passive sampling rather than deterministic assembly.</w:t>
      </w:r>
    </w:p>
    <w:p>
      <w:pPr>
        <w:pStyle w:val="BodyText"/>
      </w:pPr>
      <w:r>
        <w:t xml:space="preserve">Nestedness was not significant (NODF = 18.4, p = 0.28); beta diversity partitioning confirmed that species replacement accounted for 81% of total dissimilarity (Table S11). Combined with the significant db-RDA, this indicates species turnover—not passive accumulation—along the size gradient.</w:t>
      </w:r>
    </w:p>
    <w:p>
      <w:pPr>
        <w:pStyle w:val="BodyText"/>
      </w:pPr>
      <w:r>
        <w:t xml:space="preserve">Community variability declined from small to large corals (distance-to-centroid ANOVA F = 9.21, p &lt; 0.001; Fig. S15), consistent with compositional convergence as communities mature. Because</w:t>
      </w:r>
      <w:r>
        <w:t xml:space="preserve"> </w:t>
      </w:r>
      <w:r>
        <w:rPr>
          <w:i/>
          <w:iCs/>
        </w:rPr>
        <w:t xml:space="preserve">Pocillopora</w:t>
      </w:r>
      <w:r>
        <w:t xml:space="preserve"> </w:t>
      </w:r>
      <w:r>
        <w:t xml:space="preserve">comprises multiple cryptic species with distinct branching architectures, we tested whether host species identity contributes to compositional variation beyond colony size (Supplementary Methods). Coral genetic species predicted CAFI richness (p = 0.007) and composition (PERMANOVA R² = 0.08, p = 0.001) but not total abundance (p = 0.24; Table S16). Three-way variance partitioning attributed comparable unique variation to host architecture (5.6%) and colony volume (4.6%), both exceeding site (2.9%; Table S16). The corallivore</w:t>
      </w:r>
      <w:r>
        <w:t xml:space="preserve"> </w:t>
      </w:r>
      <w:r>
        <w:rPr>
          <w:i/>
          <w:iCs/>
        </w:rPr>
        <w:t xml:space="preserve">Galeropsis monodonta</w:t>
      </w:r>
      <w:r>
        <w:t xml:space="preserve"> </w:t>
      </w:r>
      <w:r>
        <w:t xml:space="preserve">showed strong host specificity to</w:t>
      </w:r>
      <w:r>
        <w:t xml:space="preserve"> </w:t>
      </w:r>
      <w:r>
        <w:rPr>
          <w:i/>
          <w:iCs/>
        </w:rPr>
        <w:t xml:space="preserve">P. verrucosa</w:t>
      </w:r>
      <w:r>
        <w:t xml:space="preserve"> </w:t>
      </w:r>
      <w:r>
        <w:t xml:space="preserve">(7-fold enrichment), while obligate</w:t>
      </w:r>
      <w:r>
        <w:t xml:space="preserve"> </w:t>
      </w:r>
      <w:r>
        <w:rPr>
          <w:i/>
          <w:iCs/>
        </w:rPr>
        <w:t xml:space="preserve">Trapezia</w:t>
      </w:r>
      <w:r>
        <w:t xml:space="preserve"> </w:t>
      </w:r>
      <w:r>
        <w:t xml:space="preserve">did not differ among coral species (p = 0.51), suggesting that guard crabs colonize based on colony geometry rather than host identity (Tables S17–S18; Figs. S12–S13).</w:t>
      </w:r>
    </w:p>
    <w:bookmarkStart w:id="28" w:name="Xdf824793d2dbda0b88fc5e0cfb268de37e5e011"/>
    <w:p>
      <w:pPr>
        <w:pStyle w:val="Heading3"/>
      </w:pPr>
      <w:r>
        <w:t xml:space="preserve">Pairwise co-occurrences are explained by volume and site</w:t>
      </w:r>
    </w:p>
    <w:p>
      <w:pPr>
        <w:pStyle w:val="FirstParagraph"/>
      </w:pPr>
      <w:r>
        <w:t xml:space="preserve">After accounting for coral volume and site, no species pair co-occurred more or less often than expected (0 of 528 pairs significant after FDR correction; Fig. S9; Table S5), indicating that pairwise associations are largely explained by habitat size and location. However, six species showed significant mating-pair aggregation – concentrating conspecific pairs on a subset of corals (Table S6) – consistent with the territorial pair-bonding that underpins species stacking.</w:t>
      </w:r>
    </w:p>
    <w:p>
      <w:pPr>
        <w:pStyle w:val="BodyText"/>
      </w:pPr>
      <w:r>
        <w:t xml:space="preserve">Because composition turns over along the size gradient rather than merely accumulating species, variation in CAFI richness reflects partially non-overlapping functional assemblages – the prerequisite for testing whether diversity predicts coral condition.</w:t>
      </w:r>
    </w:p>
    <w:bookmarkEnd w:id="28"/>
    <w:bookmarkEnd w:id="29"/>
    <w:bookmarkStart w:id="30" w:name="Xbe5cbc1ed8c9c0eeed5a05cdb770c643f1fc6e3"/>
    <w:p>
      <w:pPr>
        <w:pStyle w:val="Heading2"/>
      </w:pPr>
      <w:r>
        <w:t xml:space="preserve">Q3: CAFI species richness positively predicts coral condition</w:t>
      </w:r>
    </w:p>
    <w:p>
      <w:pPr>
        <w:pStyle w:val="FirstParagraph"/>
      </w:pPr>
      <w:r>
        <w:t xml:space="preserve">Species richness positively predicted coral condition (n = 84; standardized β = 0.36, 95% CI [0.06, 0.66], p = 0.018, Hochberg-adjusted p = 0.036; Fig. 5A), and total abundance showed a weaker association (β = 0.32, p = 0.048; Fig. 5B; Table S2). Richness and abundance were pre-specified a priori hypotheses; we therefore report these tests at nominal significance levels (global BH-FDR across all six predictors shown for transparency in Table S2). Variance partitioning attributed 29.1% of the incremental R² to richness uniquely, less than 1% to abundance uniquely, and 70.8% shared (Table S10; Fig. S10A).</w:t>
      </w:r>
    </w:p>
    <w:p>
      <w:pPr>
        <w:pStyle w:val="BodyText"/>
      </w:pPr>
      <w:r>
        <w:t xml:space="preserve">The overall model explained limited variance (adjusted R² = 0.04). Mediation analysis confirmed that the richness effect operates directly rather than through abundance (ACME p = 0.69; Table S12). The path model suggested a stronger richness-to-condition path (β = 0.55) than abundance-to-condition (β = 0.02), though neither reached significance individually (Table S10; Fig. S10C). Adding coral morphotype as a covariate absorbed the richness signal (p = 0.27 vs 0.015; Table S13), suggesting morphotype-associated variation may partly drive the association (see Discussion). In contrast, adding genetic species identity (mtORF haplotype) did not absorb the signal (p = 0.010; Table S15), indicating that morphotype captures architectural variation beyond species identity alone.</w:t>
      </w:r>
    </w:p>
    <w:p>
      <w:pPr>
        <w:pStyle w:val="BodyText"/>
      </w:pPr>
      <w:r>
        <w:t xml:space="preserve">Rarefied richness showed no relationship with condition (p = 0.50, n = 47; minimum detectable R² = 0.15 at 80% power; Fig. S8). No exploratory predictor survived FDR correction (Table S2), and reverse-direction tests were non-significant (Fig. S11C; Table S2).</w:t>
      </w:r>
    </w:p>
    <w:bookmarkEnd w:id="30"/>
    <w:bookmarkStart w:id="35" w:name="discussion"/>
    <w:p>
      <w:pPr>
        <w:pStyle w:val="Heading2"/>
      </w:pPr>
      <w:r>
        <w:t xml:space="preserve">Discussion</w:t>
      </w:r>
    </w:p>
    <w:p>
      <w:pPr>
        <w:pStyle w:val="FirstParagraph"/>
      </w:pPr>
      <w:r>
        <w:t xml:space="preserve">Finite colonist pools, not habitat capacity, limit how many occupants a coral colony accumulates – and this constraint cascades through community assembly to coral condition. Abundance scales sublinearly with colony volume and per-capita density dilutes as corals grow (Q1), composition turns over rather than nesting along the size gradient (Q2), and the resulting community variation covaries with coral condition (Q3; Figs. 2, 4, 5). We interpret our findings alongside the companion manipulation experiment</w:t>
      </w:r>
      <w:r>
        <w:t xml:space="preserve"> </w:t>
      </w:r>
      <w:r>
        <w:t xml:space="preserve">(</w:t>
      </w:r>
      <w:hyperlink w:anchor="ref-StierInReview">
        <w:r>
          <w:rPr>
            <w:rStyle w:val="Hyperlink"/>
          </w:rPr>
          <w:t xml:space="preserve">Stier et al., in review</w:t>
        </w:r>
      </w:hyperlink>
      <w:r>
        <w:t xml:space="preserve">)</w:t>
      </w:r>
      <w:r>
        <w:t xml:space="preserve"> </w:t>
      </w:r>
      <w:r>
        <w:t xml:space="preserve">and the broader experimental literature. Because our cross-sectional design documents associations at each link but cannot establish causality, the chain remains correlational; we flag interpretive ambiguities at each step below.</w:t>
      </w:r>
    </w:p>
    <w:bookmarkStart w:id="31" w:name="sublinear-scaling-and-species-stacking"/>
    <w:p>
      <w:pPr>
        <w:pStyle w:val="Heading3"/>
      </w:pPr>
      <w:r>
        <w:t xml:space="preserve">Sublinear scaling and species stacking</w:t>
      </w:r>
    </w:p>
    <w:p>
      <w:pPr>
        <w:pStyle w:val="FirstParagraph"/>
      </w:pPr>
      <w:r>
        <w:t xml:space="preserve">Sublinear scaling of occupant abundance with habitat size is general across biogenic habitat systems – arthropods on trees</w:t>
      </w:r>
      <w:r>
        <w:t xml:space="preserve"> </w:t>
      </w:r>
      <w:r>
        <w:t xml:space="preserve">(</w:t>
      </w:r>
      <w:hyperlink w:anchor="ref-Lawton1983">
        <w:r>
          <w:rPr>
            <w:rStyle w:val="Hyperlink"/>
          </w:rPr>
          <w:t xml:space="preserve">Lawton, 1983</w:t>
        </w:r>
      </w:hyperlink>
      <w:r>
        <w:t xml:space="preserve">;</w:t>
      </w:r>
      <w:r>
        <w:t xml:space="preserve"> </w:t>
      </w:r>
      <w:hyperlink w:anchor="ref-Schlinkert2015">
        <w:r>
          <w:rPr>
            <w:rStyle w:val="Hyperlink"/>
          </w:rPr>
          <w:t xml:space="preserve">Schlinkert et al., 2015</w:t>
        </w:r>
      </w:hyperlink>
      <w:r>
        <w:t xml:space="preserve">)</w:t>
      </w:r>
      <w:r>
        <w:t xml:space="preserve">, invertebrates in kelp holdfasts</w:t>
      </w:r>
      <w:r>
        <w:t xml:space="preserve"> </w:t>
      </w:r>
      <w:r>
        <w:t xml:space="preserve">(</w:t>
      </w:r>
      <w:hyperlink w:anchor="ref-Anderson2005">
        <w:r>
          <w:rPr>
            <w:rStyle w:val="Hyperlink"/>
          </w:rPr>
          <w:t xml:space="preserve">Anderson et al., 2005</w:t>
        </w:r>
      </w:hyperlink>
      <w:r>
        <w:t xml:space="preserve">)</w:t>
      </w:r>
      <w:r>
        <w:t xml:space="preserve">, parasites on hosts</w:t>
      </w:r>
      <w:r>
        <w:t xml:space="preserve"> </w:t>
      </w:r>
      <w:r>
        <w:t xml:space="preserve">(</w:t>
      </w:r>
      <w:hyperlink w:anchor="ref-Kuris2008">
        <w:r>
          <w:rPr>
            <w:rStyle w:val="Hyperlink"/>
          </w:rPr>
          <w:t xml:space="preserve">Kuris et al., 2008</w:t>
        </w:r>
      </w:hyperlink>
      <w:r>
        <w:t xml:space="preserve">)</w:t>
      </w:r>
      <w:r>
        <w:t xml:space="preserve"> </w:t>
      </w:r>
      <w:r>
        <w:t xml:space="preserve">– reflecting finite colonist supply relative to available habitat. Our community-level exponent (β = 0.52; Fig. 2A) is comparable to</w:t>
      </w:r>
      <w:r>
        <w:t xml:space="preserve"> </w:t>
      </w:r>
      <w:r>
        <w:t xml:space="preserve">Abele &amp; Patton (</w:t>
      </w:r>
      <w:hyperlink w:anchor="ref-Abele1976">
        <w:r>
          <w:rPr>
            <w:rStyle w:val="Hyperlink"/>
          </w:rPr>
          <w:t xml:space="preserve">1976</w:t>
        </w:r>
      </w:hyperlink>
      <w:r>
        <w:t xml:space="preserve">)</w:t>
      </w:r>
      <w:r>
        <w:t xml:space="preserve">’s foundational estimate from</w:t>
      </w:r>
      <w:r>
        <w:t xml:space="preserve"> </w:t>
      </w:r>
      <w:r>
        <w:rPr>
          <w:i/>
          <w:iCs/>
        </w:rPr>
        <w:t xml:space="preserve">Pocillopora damicornis</w:t>
      </w:r>
      <w:r>
        <w:t xml:space="preserve"> </w:t>
      </w:r>
      <w:r>
        <w:t xml:space="preserve">(β ≈ 0.41 on a volume basis). Two reinforcing mechanisms produce this pattern: chemical settlement cues scale with surface area rather than volume</w:t>
      </w:r>
      <w:r>
        <w:t xml:space="preserve"> </w:t>
      </w:r>
      <w:r>
        <w:t xml:space="preserve">(</w:t>
      </w:r>
      <w:hyperlink w:anchor="ref-Hamman2018">
        <w:r>
          <w:rPr>
            <w:rStyle w:val="Hyperlink"/>
          </w:rPr>
          <w:t xml:space="preserve">Hamman et al., 2018</w:t>
        </w:r>
      </w:hyperlink>
      <w:r>
        <w:t xml:space="preserve">;</w:t>
      </w:r>
      <w:r>
        <w:t xml:space="preserve"> </w:t>
      </w:r>
      <w:hyperlink w:anchor="ref-StierOsenberg2010">
        <w:r>
          <w:rPr>
            <w:rStyle w:val="Hyperlink"/>
          </w:rPr>
          <w:t xml:space="preserve">Stier &amp; Osenberg, 2010</w:t>
        </w:r>
      </w:hyperlink>
      <w:r>
        <w:t xml:space="preserve">)</w:t>
      </w:r>
      <w:r>
        <w:t xml:space="preserve">, and obligate symbionts impose per-colony ceilings through territorial pair-bonding</w:t>
      </w:r>
      <w:r>
        <w:t xml:space="preserve"> </w:t>
      </w:r>
      <w:r>
        <w:t xml:space="preserve">(</w:t>
      </w:r>
      <w:hyperlink w:anchor="ref-Castro1978">
        <w:r>
          <w:rPr>
            <w:rStyle w:val="Hyperlink"/>
          </w:rPr>
          <w:t xml:space="preserve">Castro, 1978</w:t>
        </w:r>
      </w:hyperlink>
      <w:r>
        <w:t xml:space="preserve">;</w:t>
      </w:r>
      <w:r>
        <w:t xml:space="preserve"> </w:t>
      </w:r>
      <w:hyperlink w:anchor="ref-HuberColes1986">
        <w:r>
          <w:rPr>
            <w:rStyle w:val="Hyperlink"/>
          </w:rPr>
          <w:t xml:space="preserve">Huber &amp; Coles, 1986</w:t>
        </w:r>
      </w:hyperlink>
      <w:r>
        <w:t xml:space="preserve">)</w:t>
      </w:r>
      <w:r>
        <w:t xml:space="preserve">.</w:t>
      </w:r>
    </w:p>
    <w:p>
      <w:pPr>
        <w:pStyle w:val="BodyText"/>
      </w:pPr>
      <w:r>
        <w:t xml:space="preserve">Increasing total CAFI on a colony therefore favors adding new species over additional conspecifics, consistent with the</w:t>
      </w:r>
      <w:r>
        <w:t xml:space="preserve"> </w:t>
      </w:r>
      <w:r>
        <w:t xml:space="preserve">“species stacking”</w:t>
      </w:r>
      <w:r>
        <w:t xml:space="preserve"> </w:t>
      </w:r>
      <w:r>
        <w:t xml:space="preserve">constraint</w:t>
      </w:r>
      <w:r>
        <w:t xml:space="preserve"> </w:t>
      </w:r>
      <w:r>
        <w:t xml:space="preserve">(</w:t>
      </w:r>
      <w:hyperlink w:anchor="ref-Stier2012">
        <w:r>
          <w:rPr>
            <w:rStyle w:val="Hyperlink"/>
          </w:rPr>
          <w:t xml:space="preserve">Stier et al., 2012</w:t>
        </w:r>
      </w:hyperlink>
      <w:r>
        <w:t xml:space="preserve">)</w:t>
      </w:r>
      <w:r>
        <w:t xml:space="preserve">. Our cross-sectional design cannot separate size from age; larger colonies may be older, giving colonization and competitive exclusion more time to shape the scaling regime. Our colonies were selected to span the size gradient rather than sampled randomly, which provides leverage for estimating β but may not represent the population-level size distribution.</w:t>
      </w:r>
    </w:p>
    <w:p>
      <w:pPr>
        <w:pStyle w:val="BodyText"/>
      </w:pPr>
      <w:r>
        <w:t xml:space="preserve">Taxon-specificity of scaling exponents reinforces this mechanistic picture (Fig. 3).</w:t>
      </w:r>
      <w:r>
        <w:t xml:space="preserve"> </w:t>
      </w:r>
      <w:r>
        <w:rPr>
          <w:i/>
          <w:iCs/>
        </w:rPr>
        <w:t xml:space="preserve">Trapezia</w:t>
      </w:r>
      <w:r>
        <w:t xml:space="preserve"> </w:t>
      </w:r>
      <w:r>
        <w:t xml:space="preserve">occupied 100% of surveyed colonies – even the smallest (21 cm³) – yet scaled most strongly sublinearly (β = 0.43). Although larger corals accommodate additional conspecific pairs, pair-bonding imposes a ceiling on per-pair density that slows accumulation, producing the sublinear exponent. Gastropods scale near-proportionally, suggesting that</w:t>
      </w:r>
      <w:r>
        <w:t xml:space="preserve"> </w:t>
      </w:r>
      <w:r>
        <w:rPr>
          <w:i/>
          <w:iCs/>
        </w:rPr>
        <w:t xml:space="preserve">Galeropsis monodonta</w:t>
      </w:r>
      <w:r>
        <w:t xml:space="preserve"> </w:t>
      </w:r>
      <w:r>
        <w:t xml:space="preserve">colonizes primarily by crawling between adjacent corals rather than via pelagic larval delivery. Analogous taxon-specificity appears in plant–herbivore and host–parasite systems, where specialists track habitat size more tightly than generalists</w:t>
      </w:r>
      <w:r>
        <w:t xml:space="preserve"> </w:t>
      </w:r>
      <w:r>
        <w:t xml:space="preserve">(</w:t>
      </w:r>
      <w:hyperlink w:anchor="ref-Otway2005">
        <w:r>
          <w:rPr>
            <w:rStyle w:val="Hyperlink"/>
          </w:rPr>
          <w:t xml:space="preserve">Otway et al., 2005</w:t>
        </w:r>
      </w:hyperlink>
      <w:r>
        <w:t xml:space="preserve">)</w:t>
      </w:r>
      <w:r>
        <w:t xml:space="preserve">.</w:t>
      </w:r>
    </w:p>
    <w:p>
      <w:pPr>
        <w:pStyle w:val="BodyText"/>
      </w:pPr>
      <w:r>
        <w:t xml:space="preserve">The companion experiment found proportional scaling during active colonization, while our survey of established communities shows sublinear scaling, suggesting that territorial exclusion progressively reduces per-capita survival as communities mature</w:t>
      </w:r>
      <w:r>
        <w:t xml:space="preserve"> </w:t>
      </w:r>
      <w:r>
        <w:t xml:space="preserve">(</w:t>
      </w:r>
      <w:hyperlink w:anchor="ref-MacArthurWilson1967">
        <w:r>
          <w:rPr>
            <w:rStyle w:val="Hyperlink"/>
          </w:rPr>
          <w:t xml:space="preserve">MacArthur &amp; Wilson, 1967</w:t>
        </w:r>
      </w:hyperlink>
      <w:r>
        <w:t xml:space="preserve">)</w:t>
      </w:r>
      <w:r>
        <w:t xml:space="preserve">. The two species that shifted from proportional to sublinear –</w:t>
      </w:r>
      <w:r>
        <w:t xml:space="preserve"> </w:t>
      </w:r>
      <w:r>
        <w:rPr>
          <w:i/>
          <w:iCs/>
        </w:rPr>
        <w:t xml:space="preserve">Alpheus lottini</w:t>
      </w:r>
      <w:r>
        <w:t xml:space="preserve"> </w:t>
      </w:r>
      <w:r>
        <w:t xml:space="preserve">and</w:t>
      </w:r>
      <w:r>
        <w:t xml:space="preserve"> </w:t>
      </w:r>
      <w:r>
        <w:rPr>
          <w:i/>
          <w:iCs/>
        </w:rPr>
        <w:t xml:space="preserve">Calcinus latens</w:t>
      </w:r>
      <w:r>
        <w:t xml:space="preserve"> </w:t>
      </w:r>
      <w:r>
        <w:t xml:space="preserve">– are both territorial, consistent with pair-bonding as the driver (Table S7). If this pattern holds, initial CAFI recruitment to restoration outplants will attenuate as communities mature, and planning that assumes proportional returns will overestimate gains.</w:t>
      </w:r>
    </w:p>
    <w:p>
      <w:pPr>
        <w:pStyle w:val="BodyText"/>
      </w:pPr>
      <w:r>
        <w:t xml:space="preserve">At the landscape scale, spatial proximity to neighboring corals predicted higher species richness and Shannon diversity but not total abundance (Fig. S5), a decoupling that survived rarefaction (p = 0.005). Nearby colonies likely serve as stepping-stone sources for rare taxa whose dispersal kernels cannot span the inter-colony gap. Neighbor count and total neighbor volume had no detectable effect (all p &gt; 0.37), though limited power at n = 61 may partly explain these nulls. Proximity thus matters more than raw neighbor count, extending access to shared propagule pools and potentially compounding species accumulation in aggregated habitats.</w:t>
      </w:r>
    </w:p>
    <w:p>
      <w:pPr>
        <w:pStyle w:val="BodyText"/>
      </w:pPr>
      <w:r>
        <w:t xml:space="preserve">The relative importance of Field of Dreams versus Propagule Redirection depends on ambient settlement intensity</w:t>
      </w:r>
      <w:r>
        <w:t xml:space="preserve"> </w:t>
      </w:r>
      <w:r>
        <w:t xml:space="preserve">(</w:t>
      </w:r>
      <w:hyperlink w:anchor="ref-StierOsenberg2010">
        <w:r>
          <w:rPr>
            <w:rStyle w:val="Hyperlink"/>
          </w:rPr>
          <w:t xml:space="preserve">Stier &amp; Osenberg, 2010</w:t>
        </w:r>
      </w:hyperlink>
      <w:r>
        <w:t xml:space="preserve">)</w:t>
      </w:r>
      <w:r>
        <w:t xml:space="preserve">; the strong sublinear scaling we observe places Mo’orea in the Redirection-dominated regime. Sublinear scaling and density dilution predict not only fewer occupants per unit volume but also different species on different-sized hosts – and if composition changes predictably, so may the services that occupants provide.</w:t>
      </w:r>
    </w:p>
    <w:bookmarkEnd w:id="31"/>
    <w:bookmarkStart w:id="32" w:name="composition-turnover-and-co-occurrence"/>
    <w:p>
      <w:pPr>
        <w:pStyle w:val="Heading3"/>
      </w:pPr>
      <w:r>
        <w:t xml:space="preserve">Composition, turnover, and co-occurrence</w:t>
      </w:r>
    </w:p>
    <w:p>
      <w:pPr>
        <w:pStyle w:val="FirstParagraph"/>
      </w:pPr>
      <w:r>
        <w:t xml:space="preserve">The rejection of nestedness confirms that species turn over along the size gradient, generating qualitatively different assemblages on different-sized colonies – parallel to patterns in terrestrial fragments</w:t>
      </w:r>
      <w:r>
        <w:t xml:space="preserve"> </w:t>
      </w:r>
      <w:r>
        <w:t xml:space="preserve">(</w:t>
      </w:r>
      <w:hyperlink w:anchor="ref-Haddad2015">
        <w:r>
          <w:rPr>
            <w:rStyle w:val="Hyperlink"/>
          </w:rPr>
          <w:t xml:space="preserve">Haddad et al., 2015</w:t>
        </w:r>
      </w:hyperlink>
      <w:r>
        <w:t xml:space="preserve">)</w:t>
      </w:r>
      <w:r>
        <w:t xml:space="preserve"> </w:t>
      </w:r>
      <w:r>
        <w:t xml:space="preserve">and ant–myrmecophyte systems</w:t>
      </w:r>
      <w:r>
        <w:t xml:space="preserve"> </w:t>
      </w:r>
      <w:r>
        <w:t xml:space="preserve">(</w:t>
      </w:r>
      <w:hyperlink w:anchor="ref-FonsecaGanade1996">
        <w:r>
          <w:rPr>
            <w:rStyle w:val="Hyperlink"/>
          </w:rPr>
          <w:t xml:space="preserve">Fonseca &amp; Ganade, 1996</w:t>
        </w:r>
      </w:hyperlink>
      <w:r>
        <w:t xml:space="preserve">)</w:t>
      </w:r>
      <w:r>
        <w:t xml:space="preserve">. Colony size thus predicts not just the quantity of occupant services but which services are available: small colonies with high per-capita</w:t>
      </w:r>
      <w:r>
        <w:t xml:space="preserve"> </w:t>
      </w:r>
      <w:r>
        <w:rPr>
          <w:i/>
          <w:iCs/>
        </w:rPr>
        <w:t xml:space="preserve">Trapezia</w:t>
      </w:r>
      <w:r>
        <w:t xml:space="preserve"> </w:t>
      </w:r>
      <w:r>
        <w:t xml:space="preserve">densities receive concentrated predator defense, while large colonies trade obligate-mutualist density for higher gastropod and xanthid representation – a shift toward corallivore-rich assemblages that may erode net benefits. Size-dependent composition reflects both biotic and abiotic gradients: smaller colonies offer fewer microhabitat niches and simpler branching architecture, while larger colonies provide greater interstitial space and reduced flow</w:t>
      </w:r>
      <w:r>
        <w:t xml:space="preserve"> </w:t>
      </w:r>
      <w:r>
        <w:t xml:space="preserve">(</w:t>
      </w:r>
      <w:hyperlink w:anchor="ref-Counsell2018">
        <w:r>
          <w:rPr>
            <w:rStyle w:val="Hyperlink"/>
          </w:rPr>
          <w:t xml:space="preserve">Counsell et al., 2018</w:t>
        </w:r>
      </w:hyperlink>
      <w:r>
        <w:t xml:space="preserve">)</w:t>
      </w:r>
      <w:r>
        <w:t xml:space="preserve">. Depth and wave exposure can covary with colony size, so part of the size-composition gradient may reflect environmental sorting rather than species stacking alone. Compositional turnover survived rarefaction control (Fig. 4A), confirming genuine species replacement independent of passive sampling. In contrast, the apparent convergence in composition among larger corals (decreasing distance-to-centroid; Fig. S3C) did not survive rarefaction, indicating that reduced compositional variability on large corals reflects richer samples converging statistically rather than deterministic assembly homogenizing communities.</w:t>
      </w:r>
    </w:p>
    <w:p>
      <w:pPr>
        <w:pStyle w:val="BodyText"/>
      </w:pPr>
      <w:r>
        <w:t xml:space="preserve">Yet site and volume together explain only ~14% of composition, leaving a large role for host identity and stochastic colonization. Three-way variance partitioning attributes more unique compositional variation to host architecture – branch width and genetic species identity (5.6%) – than to colony volume (4.6%) or site (2.9%) alone (Table S16), indicating that habitat identity, not merely habitat area, structures these communities. Architecture mediates host genotype effects on occupant identity: corallivores such as</w:t>
      </w:r>
      <w:r>
        <w:t xml:space="preserve"> </w:t>
      </w:r>
      <w:r>
        <w:rPr>
          <w:i/>
          <w:iCs/>
        </w:rPr>
        <w:t xml:space="preserve">Galeropsis monodonta</w:t>
      </w:r>
      <w:r>
        <w:t xml:space="preserve"> </w:t>
      </w:r>
      <w:r>
        <w:t xml:space="preserve">track host species directly (7-fold enrichment on</w:t>
      </w:r>
      <w:r>
        <w:t xml:space="preserve"> </w:t>
      </w:r>
      <w:r>
        <w:rPr>
          <w:i/>
          <w:iCs/>
        </w:rPr>
        <w:t xml:space="preserve">P. verrucosa</w:t>
      </w:r>
      <w:r>
        <w:t xml:space="preserve">), while obligate mutualists colonize based on colony geometry rather than host identity. Within shared corals,</w:t>
      </w:r>
      <w:r>
        <w:t xml:space="preserve"> </w:t>
      </w:r>
      <w:r>
        <w:rPr>
          <w:i/>
          <w:iCs/>
        </w:rPr>
        <w:t xml:space="preserve">Trapezia</w:t>
      </w:r>
      <w:r>
        <w:t xml:space="preserve"> </w:t>
      </w:r>
      <w:r>
        <w:t xml:space="preserve">species partition by body size – larger-bodied</w:t>
      </w:r>
      <w:r>
        <w:t xml:space="preserve"> </w:t>
      </w:r>
      <w:r>
        <w:rPr>
          <w:i/>
          <w:iCs/>
        </w:rPr>
        <w:t xml:space="preserve">T. flavopunctata</w:t>
      </w:r>
      <w:r>
        <w:t xml:space="preserve"> </w:t>
      </w:r>
      <w:r>
        <w:t xml:space="preserve">dominating wide-branched colonies, smaller</w:t>
      </w:r>
      <w:r>
        <w:t xml:space="preserve"> </w:t>
      </w:r>
      <w:r>
        <w:rPr>
          <w:i/>
          <w:iCs/>
        </w:rPr>
        <w:t xml:space="preserve">T. serenei</w:t>
      </w:r>
      <w:r>
        <w:t xml:space="preserve"> </w:t>
      </w:r>
      <w:r>
        <w:t xml:space="preserve">narrower ones (Fig. S14) – consistent with character displacement that strengthens species stacking along the architectural gradient.</w:t>
      </w:r>
    </w:p>
    <w:p>
      <w:pPr>
        <w:pStyle w:val="BodyText"/>
      </w:pPr>
      <w:r>
        <w:t xml:space="preserve">Co-occurrence patterns reinforce this picture of constrained assembly within a stochastic backdrop. Volume-weighted null models detected no significant pairwise associations after FDR correction (Fig. S9), yet six species showed significant mating-pair aggregation, concentrating conspecific pairs on a subset of corals. The resulting non-random mosaic of well-defended and poorly-defended colonies – arising from pair-aggregation against a largely stochastic background – creates the among-colony variation in functional composition on which any diversity-condition relationship depends.</w:t>
      </w:r>
    </w:p>
    <w:p>
      <w:pPr>
        <w:pStyle w:val="BodyText"/>
      </w:pPr>
      <w:r>
        <w:t xml:space="preserve">The decline in beta-dispersion from small to large corals adds a temporal dimension to the assembly picture. Raup–Crick null-model analysis confirmed that communities were more similar than expected under stochastic assembly (Fig. S16; Table S20), and taxonomic overdispersion further supported deterministic filtering (Fig. S17). If colony size proxies community age – larger colonies having had longer for post-settlement sorting – then communities progress from stochastic early colonization toward deterministic convergence, a trajectory predicted by metacommunity theory for habitat patches above a threshold size</w:t>
      </w:r>
      <w:r>
        <w:t xml:space="preserve"> </w:t>
      </w:r>
      <w:r>
        <w:t xml:space="preserve">(</w:t>
      </w:r>
      <w:hyperlink w:anchor="ref-Chase2011">
        <w:r>
          <w:rPr>
            <w:rStyle w:val="Hyperlink"/>
          </w:rPr>
          <w:t xml:space="preserve">J. M. Chase et al., 2011</w:t>
        </w:r>
      </w:hyperlink>
      <w:r>
        <w:t xml:space="preserve">)</w:t>
      </w:r>
      <w:r>
        <w:t xml:space="preserve">. This convergence makes the diversity-condition relationship (Q3) mechanistically coherent: complementarity requires repeatable species combinations, not random assemblages, and the predictable communities that emerge on large corals provide exactly the stable functional backdrop on which diversity effects can operate.</w:t>
      </w:r>
    </w:p>
    <w:bookmarkEnd w:id="32"/>
    <w:bookmarkStart w:id="33" w:name="cafi-diversity-and-coral-condition"/>
    <w:p>
      <w:pPr>
        <w:pStyle w:val="Heading3"/>
      </w:pPr>
      <w:r>
        <w:t xml:space="preserve">CAFI diversity and coral condition</w:t>
      </w:r>
    </w:p>
    <w:p>
      <w:pPr>
        <w:pStyle w:val="FirstParagraph"/>
      </w:pPr>
      <w:r>
        <w:t xml:space="preserve">Species richness positively predicted coral condition (p = 0.018), consistent with BEF complementarity among functionally distinct residents. The association is modest (adjusted R² = 0.04), and richness shares 70.8% of its explanatory power with abundance – unsurprising given the tight richness-abundance coupling that sublinear scaling produces. Rarefied richness showed no relationship (Fig. S8), but this null is ambiguous: if diversity enhances condition partly through total occupancy – more species meaning more defenders, more nutrient subsidizers, and fewer empty niches – then rarefaction strips the mechanism along with the confound.</w:t>
      </w:r>
    </w:p>
    <w:p>
      <w:pPr>
        <w:pStyle w:val="BodyText"/>
      </w:pPr>
      <w:r>
        <w:t xml:space="preserve">Three lines of evidence favor complementarity over a pure abundance pathway. Variance partitioning attributes 30x more unique explanatory power to richness than to abundance (Fig. S10A). The path model estimates a larger richness-to-condition coefficient (Fig. S10C). And no individual species survived FDR correction, consistent with many species contributing small effects</w:t>
      </w:r>
      <w:r>
        <w:t xml:space="preserve"> </w:t>
      </w:r>
      <w:r>
        <w:t xml:space="preserve">(</w:t>
      </w:r>
      <w:hyperlink w:anchor="ref-Hector1999">
        <w:r>
          <w:rPr>
            <w:rStyle w:val="Hyperlink"/>
          </w:rPr>
          <w:t xml:space="preserve">Hector et al., 1999</w:t>
        </w:r>
      </w:hyperlink>
      <w:r>
        <w:t xml:space="preserve">)</w:t>
      </w:r>
      <w:r>
        <w:t xml:space="preserve"> </w:t>
      </w:r>
      <w:r>
        <w:t xml:space="preserve">rather than a single dominant mutualist driving the signal; effect directions for functional groups and individual species were broadly concordant with the companion experiment (Table S3). Mediation analysis confirmed that the richness effect operates directly rather than through abundance (ACME p = 0.69; Table S12). The equally parsimonious counter-interpretation – that richness simply proxies total occupancy – cannot be excluded with observational data alone.</w:t>
      </w:r>
    </w:p>
    <w:p>
      <w:pPr>
        <w:pStyle w:val="BodyText"/>
      </w:pPr>
      <w:r>
        <w:t xml:space="preserve">The morphotype result initially appears to undermine the diversity-condition link, but disentangling architecture from species identity reverses the interpretation. Adding coral morphotype as a covariate absorbed the richness signal (Table S13), yet adding genetic species identity (mtORF haplotype) did not (p = 0.010; Table S15). This asymmetry arises because field morphotype captures branching architecture – which mediates the genotype-to-composition pathway – rather than species identity per se (Supplementary Methods; Tables S15–S16). The companion study</w:t>
      </w:r>
      <w:r>
        <w:t xml:space="preserve"> </w:t>
      </w:r>
      <w:r>
        <w:t xml:space="preserve">(</w:t>
      </w:r>
      <w:hyperlink w:anchor="ref-StierInReview">
        <w:r>
          <w:rPr>
            <w:rStyle w:val="Hyperlink"/>
          </w:rPr>
          <w:t xml:space="preserve">Stier et al., in review</w:t>
        </w:r>
      </w:hyperlink>
      <w:r>
        <w:t xml:space="preserve">)</w:t>
      </w:r>
      <w:r>
        <w:t xml:space="preserve"> </w:t>
      </w:r>
      <w:r>
        <w:t xml:space="preserve">confirms this mediation: haplotype effects on composition disappeared when architecture was controlled. The absorption of the richness signal by morphotype therefore reflects the pathway through which habitat structure generates diversity, not a confound that invalidates the BEF relationship.</w:t>
      </w:r>
    </w:p>
    <w:p>
      <w:pPr>
        <w:pStyle w:val="BodyText"/>
      </w:pPr>
      <w:r>
        <w:t xml:space="preserve">The experimental literature provides mechanistic plausibility for complementarity – defense</w:t>
      </w:r>
      <w:r>
        <w:t xml:space="preserve"> </w:t>
      </w:r>
      <w:r>
        <w:t xml:space="preserve">(</w:t>
      </w:r>
      <w:hyperlink w:anchor="ref-Glynn1983">
        <w:r>
          <w:rPr>
            <w:rStyle w:val="Hyperlink"/>
          </w:rPr>
          <w:t xml:space="preserve">Glynn, 1983</w:t>
        </w:r>
      </w:hyperlink>
      <w:r>
        <w:t xml:space="preserve">;</w:t>
      </w:r>
      <w:r>
        <w:t xml:space="preserve"> </w:t>
      </w:r>
      <w:hyperlink w:anchor="ref-Stier2012">
        <w:r>
          <w:rPr>
            <w:rStyle w:val="Hyperlink"/>
          </w:rPr>
          <w:t xml:space="preserve">Stier et al., 2012</w:t>
        </w:r>
      </w:hyperlink>
      <w:r>
        <w:t xml:space="preserve">)</w:t>
      </w:r>
      <w:r>
        <w:t xml:space="preserve">, nutrient subsidies</w:t>
      </w:r>
      <w:r>
        <w:t xml:space="preserve"> </w:t>
      </w:r>
      <w:r>
        <w:t xml:space="preserve">(</w:t>
      </w:r>
      <w:hyperlink w:anchor="ref-Holbrook2008">
        <w:r>
          <w:rPr>
            <w:rStyle w:val="Hyperlink"/>
          </w:rPr>
          <w:t xml:space="preserve">Holbrook et al., 2008</w:t>
        </w:r>
      </w:hyperlink>
      <w:r>
        <w:t xml:space="preserve">)</w:t>
      </w:r>
      <w:r>
        <w:t xml:space="preserve">, bleaching buffering</w:t>
      </w:r>
      <w:r>
        <w:t xml:space="preserve"> </w:t>
      </w:r>
      <w:r>
        <w:t xml:space="preserve">(</w:t>
      </w:r>
      <w:hyperlink w:anchor="ref-Chase2018">
        <w:r>
          <w:rPr>
            <w:rStyle w:val="Hyperlink"/>
          </w:rPr>
          <w:t xml:space="preserve">T. J. Chase et al., 2018</w:t>
        </w:r>
      </w:hyperlink>
      <w:r>
        <w:t xml:space="preserve">)</w:t>
      </w:r>
      <w:r>
        <w:t xml:space="preserve">, and synergistic defense</w:t>
      </w:r>
      <w:r>
        <w:t xml:space="preserve"> </w:t>
      </w:r>
      <w:r>
        <w:t xml:space="preserve">(</w:t>
      </w:r>
      <w:hyperlink w:anchor="ref-McKeon2012">
        <w:r>
          <w:rPr>
            <w:rStyle w:val="Hyperlink"/>
          </w:rPr>
          <w:t xml:space="preserve">McKeon et al., 2012</w:t>
        </w:r>
      </w:hyperlink>
      <w:r>
        <w:t xml:space="preserve">)</w:t>
      </w:r>
      <w:r>
        <w:t xml:space="preserve"> </w:t>
      </w:r>
      <w:r>
        <w:t xml:space="preserve">– but plausibility is not evidence. A manipulative BEF experiment assembling controlled-richness communities on standardized colonies would directly test whether diversity enhances condition independent of abundance.</w:t>
      </w:r>
      <w:r>
        <w:t xml:space="preserve"> </w:t>
      </w:r>
      <w:r>
        <w:rPr>
          <w:i/>
          <w:iCs/>
        </w:rPr>
        <w:t xml:space="preserve">Galeropsis monodonta’s</w:t>
      </w:r>
      <w:r>
        <w:t xml:space="preserve"> </w:t>
      </w:r>
      <w:r>
        <w:t xml:space="preserve">positive association with condition despite being a corallivore likely reflects reverse causation – healthier corals sustaining larger corallivore populations. If even a weak diversity-condition link operates, the scaling and compositional patterns documented above have direct consequences for how corals fare under stress – consequences amplified by the context-dependence of coral–CAFI interactions</w:t>
      </w:r>
      <w:r>
        <w:t xml:space="preserve"> </w:t>
      </w:r>
      <w:r>
        <w:t xml:space="preserve">(</w:t>
      </w:r>
      <w:hyperlink w:anchor="ref-Bronstein1994">
        <w:r>
          <w:rPr>
            <w:rStyle w:val="Hyperlink"/>
          </w:rPr>
          <w:t xml:space="preserve">Bronstein, 1994</w:t>
        </w:r>
      </w:hyperlink>
      <w:r>
        <w:t xml:space="preserve">;</w:t>
      </w:r>
      <w:r>
        <w:t xml:space="preserve"> </w:t>
      </w:r>
      <w:hyperlink w:anchor="ref-Shima2010">
        <w:r>
          <w:rPr>
            <w:rStyle w:val="Hyperlink"/>
          </w:rPr>
          <w:t xml:space="preserve">Shima et al., 2010</w:t>
        </w:r>
      </w:hyperlink>
      <w:r>
        <w:t xml:space="preserve">;</w:t>
      </w:r>
      <w:r>
        <w:t xml:space="preserve"> </w:t>
      </w:r>
      <w:hyperlink w:anchor="ref-Stella2014">
        <w:r>
          <w:rPr>
            <w:rStyle w:val="Hyperlink"/>
          </w:rPr>
          <w:t xml:space="preserve">Stella et al., 2014</w:t>
        </w:r>
      </w:hyperlink>
      <w:r>
        <w:t xml:space="preserve">)</w:t>
      </w:r>
      <w:r>
        <w:t xml:space="preserve">.</w:t>
      </w:r>
    </w:p>
    <w:bookmarkEnd w:id="33"/>
    <w:bookmarkStart w:id="34" w:name="Xce475fb90565cb0e451df49c5d9d551ccf71f11"/>
    <w:p>
      <w:pPr>
        <w:pStyle w:val="Heading3"/>
      </w:pPr>
      <w:r>
        <w:t xml:space="preserve">Colony size, heatwaves, and the hypothesized chain</w:t>
      </w:r>
    </w:p>
    <w:p>
      <w:pPr>
        <w:pStyle w:val="FirstParagraph"/>
      </w:pPr>
      <w:r>
        <w:t xml:space="preserve">The three questions we address form a hypothesized chain of associations: coral size structures CAFI communities (Q1), whose composition turns over along the size gradient (Q2), and whose diversity shows a modest, correlational association with condition (Q3). These patterns reflect a single seasonal snapshot; whether the scaling regime and its compositional consequences persist across recruitment cycles and disturbance events remains untested. Because β = 0.52 means a doubling of volume increases CAFI abundance by only ~43%, large and small corals receive different services from partially non-overlapping species pools – and per-capita mutualist density diminishes as colonies grow.</w:t>
      </w:r>
    </w:p>
    <w:p>
      <w:pPr>
        <w:pStyle w:val="BodyText"/>
      </w:pPr>
      <w:r>
        <w:t xml:space="preserve">Per-capita density dilution may compound size-dependent coral mortality during marine heatwaves</w:t>
      </w:r>
      <w:r>
        <w:t xml:space="preserve"> </w:t>
      </w:r>
      <w:r>
        <w:t xml:space="preserve">(</w:t>
      </w:r>
      <w:hyperlink w:anchor="ref-Speare2022">
        <w:r>
          <w:rPr>
            <w:rStyle w:val="Hyperlink"/>
          </w:rPr>
          <w:t xml:space="preserve">Speare et al., 2022</w:t>
        </w:r>
      </w:hyperlink>
      <w:r>
        <w:t xml:space="preserve">)</w:t>
      </w:r>
      <w:r>
        <w:t xml:space="preserve">. Bleaching disrupts CAFI mutualisms, triggering emigration of obligate symbionts and potentially flipping interactions from mutualistic to antagonistic</w:t>
      </w:r>
      <w:r>
        <w:t xml:space="preserve"> </w:t>
      </w:r>
      <w:r>
        <w:t xml:space="preserve">(</w:t>
      </w:r>
      <w:hyperlink w:anchor="ref-Stella2014">
        <w:r>
          <w:rPr>
            <w:rStyle w:val="Hyperlink"/>
          </w:rPr>
          <w:t xml:space="preserve">Stella et al., 2014</w:t>
        </w:r>
      </w:hyperlink>
      <w:r>
        <w:t xml:space="preserve">)</w:t>
      </w:r>
      <w:r>
        <w:t xml:space="preserve">. We hypothesize that lower per-capita densities of beneficial CAFI on large corals reduce biotic insurance precisely when thermal stress demands it most. This hypothesis is testable: longitudinal tracking of marked colonies with CAFI censuses before and after thermal stress events would reveal whether density-diluted colonies suffer disproportionate condition loss.</w:t>
      </w:r>
    </w:p>
    <w:p>
      <w:pPr>
        <w:pStyle w:val="BodyText"/>
      </w:pPr>
      <w:r>
        <w:t xml:space="preserve">Whether the occupants are ants in acacia thorns, invertebrates in kelp holdfasts, or crustaceans in coral branches, the architecture may be the same: sublinear scaling dilutes per-capita occupant density while species turnover alters the functional composition of the occupant community, and the resulting communities feed back on habitat condition. If sublinear scaling proves general, a quantitative prediction follows: habitats whose occupant communities fall below per-capita service thresholds may show reduced condition under stress – but testing this prediction requires estimating those thresholds empirically for specific occupant guilds and habitat systems. Understanding when proportional scaling gives way to Propagule Redirection – and what that shift means for habitat condition – is necessary for predicting ecosystem trajectories wherever foundation species and their occupants are intertwined.</w:t>
      </w:r>
    </w:p>
    <w:p>
      <w:r>
        <w:pict>
          <v:rect style="width:0;height:1.5pt" o:hralign="center" o:hrstd="t" o:hr="t"/>
        </w:pict>
      </w:r>
    </w:p>
    <w:bookmarkEnd w:id="34"/>
    <w:bookmarkEnd w:id="35"/>
    <w:bookmarkStart w:id="36" w:name="acknowledgements"/>
    <w:p>
      <w:pPr>
        <w:pStyle w:val="Heading2"/>
      </w:pPr>
      <w:r>
        <w:t xml:space="preserve">Acknowledgements</w:t>
      </w:r>
    </w:p>
    <w:p>
      <w:pPr>
        <w:pStyle w:val="FirstParagraph"/>
      </w:pPr>
      <w:r>
        <w:t xml:space="preserve">We thank the many people who contributed to establishing and maintaining the field surveys, as well as M. Brzezinski and D. Cryan for assistance with data management and laboratory work and C. Wall, C. Bove, and J. Baumann for guidance on coral physiological protocols. We are grateful to the staff of the University of California Gump Research Station for their logistical and technical support, and to the Moorea Coral Reef LTER, UCSB Ocean Recoveries Lab, and UGA Osenberg Lab for their insights. Research was conducted under permits issued by the Territorial Government of French Polynesia (Délégation à la Recherche) and the Haut-commissariat de la République en Polynésie Française (DTRT) (Protocole d’Accueil), whose continued support we greatly appreciate. This work was supported by the National Science Foundation (OCE-1851510 and OCE-1851032).</w:t>
      </w:r>
    </w:p>
    <w:p>
      <w:r>
        <w:pict>
          <v:rect style="width:0;height:1.5pt" o:hralign="center" o:hrstd="t" o:hr="t"/>
        </w:pict>
      </w:r>
    </w:p>
    <w:bookmarkEnd w:id="36"/>
    <w:bookmarkStart w:id="37" w:name="author-contributions"/>
    <w:p>
      <w:pPr>
        <w:pStyle w:val="Heading2"/>
      </w:pPr>
      <w:r>
        <w:t xml:space="preserve">Author Contributions</w:t>
      </w:r>
    </w:p>
    <w:p>
      <w:pPr>
        <w:pStyle w:val="FirstParagraph"/>
      </w:pPr>
      <w:r>
        <w:t xml:space="preserve">ACS and CWO conceived the project. AP and JSC conducted the majority of the fieldwork, laboratory, and image analyses. ACS performed the analyses and drafted the figures with input from CWO. ACS wrote the first draft, and ACS and CWO contributed substantially to revisions.</w:t>
      </w:r>
    </w:p>
    <w:p>
      <w:r>
        <w:pict>
          <v:rect style="width:0;height:1.5pt" o:hralign="center" o:hrstd="t" o:hr="t"/>
        </w:pict>
      </w:r>
    </w:p>
    <w:bookmarkEnd w:id="37"/>
    <w:bookmarkStart w:id="38" w:name="conflict-of-interest"/>
    <w:p>
      <w:pPr>
        <w:pStyle w:val="Heading2"/>
      </w:pPr>
      <w:r>
        <w:t xml:space="preserve">Conflict of Interest</w:t>
      </w:r>
    </w:p>
    <w:p>
      <w:pPr>
        <w:pStyle w:val="FirstParagraph"/>
      </w:pPr>
      <w:r>
        <w:t xml:space="preserve">The authors declare no conflicts of interest.</w:t>
      </w:r>
    </w:p>
    <w:p>
      <w:r>
        <w:pict>
          <v:rect style="width:0;height:1.5pt" o:hralign="center" o:hrstd="t" o:hr="t"/>
        </w:pict>
      </w:r>
    </w:p>
    <w:bookmarkEnd w:id="38"/>
    <w:bookmarkStart w:id="39" w:name="statement-on-inclusion"/>
    <w:p>
      <w:pPr>
        <w:pStyle w:val="Heading2"/>
      </w:pPr>
      <w:r>
        <w:t xml:space="preserve">Statement on Inclusion</w:t>
      </w:r>
    </w:p>
    <w:p>
      <w:pPr>
        <w:pStyle w:val="FirstParagraph"/>
      </w:pPr>
      <w:r>
        <w:t xml:space="preserve">This research was conducted on the coral reefs of Mo’orea, French Polynesia, an overseas territory of France. All authors are based at institutions in the United States; no researchers from French Polynesia are included as co-authors. Fieldwork was carried out at the UC Berkeley Richard B. Gump South Pacific Research Station, a long-term research facility that supports international scientific collaboration on Mo’orea, and was conducted within the framework of the Moorea Coral Reef Long-Term Ecological Research (MCR-LTER) program. Research permits were obtained from the Territorial Government of French Polynesia (Délégation à la Recherche) and the Haut-commissariat de la République en Polynésie française, and fieldwork was carried out in collaboration with the Université de la Polynésie française (CRIOBE). We acknowledge that this study would have benefited from deeper engagement with local researchers and stakeholders in French Polynesia, and we are committed to pursuing such partnerships in future work. All data and analysis code will be publicly archived to ensure accessibility to researchers worldwide, including those in the study region.</w:t>
      </w:r>
    </w:p>
    <w:p>
      <w:r>
        <w:pict>
          <v:rect style="width:0;height:1.5pt" o:hralign="center" o:hrstd="t" o:hr="t"/>
        </w:pict>
      </w:r>
    </w:p>
    <w:bookmarkEnd w:id="39"/>
    <w:bookmarkStart w:id="40" w:name="data-availability-statement"/>
    <w:p>
      <w:pPr>
        <w:pStyle w:val="Heading2"/>
      </w:pPr>
      <w:r>
        <w:t xml:space="preserve">Data Availability Statement</w:t>
      </w:r>
    </w:p>
    <w:p>
      <w:pPr>
        <w:pStyle w:val="FirstParagraph"/>
      </w:pPr>
      <w:r>
        <w:t xml:space="preserve">Data and analysis code are available at [DOI to be assigned upon acceptance]. Data and code will be archived in the Dryad Digital Repository upon acceptance.</w:t>
      </w:r>
    </w:p>
    <w:p>
      <w:r>
        <w:pict>
          <v:rect style="width:0;height:1.5pt" o:hralign="center" o:hrstd="t" o:hr="t"/>
        </w:pict>
      </w:r>
    </w:p>
    <w:bookmarkEnd w:id="40"/>
    <w:bookmarkStart w:id="56" w:name="figure-legends"/>
    <w:p>
      <w:pPr>
        <w:pStyle w:val="Heading2"/>
      </w:pPr>
      <w:r>
        <w:t xml:space="preserve">Figure Legends</w:t>
      </w:r>
    </w:p>
    <w:p>
      <w:pPr>
        <w:pStyle w:val="FirstParagraph"/>
      </w:pPr>
      <w:r>
        <w:rPr>
          <w:b/>
          <w:bCs/>
        </w:rPr>
        <w:t xml:space="preserve">Fig. 1.</w:t>
      </w:r>
      <w:r>
        <w:t xml:space="preserve"> </w:t>
      </w:r>
      <w:r>
        <w:t xml:space="preserve">Study design and representative coral-associated fauna (CAFI). (A) Satellite imagery of Mo’orea, French Polynesia, showing the three reef sites: Hauru (n = 38, purple), Maatea (n = 39, slate), and Maharepa (n = 35, green). (B) Distribution of</w:t>
      </w:r>
      <w:r>
        <w:t xml:space="preserve"> </w:t>
      </w:r>
      <w:r>
        <w:rPr>
          <w:i/>
          <w:iCs/>
        </w:rPr>
        <w:t xml:space="preserve">Pocillopora</w:t>
      </w:r>
      <w:r>
        <w:t xml:space="preserve"> </w:t>
      </w:r>
      <w:r>
        <w:t xml:space="preserve">colony volumes (log₁₀ scale; range 21–42,333 cm³; n = 112). (C) Distribution of neighborhood density (conspecific colonies within 5 m; n = 61 corals with neighborhood surveys). (D–F) Representative CAFI: (D)</w:t>
      </w:r>
      <w:r>
        <w:t xml:space="preserve"> </w:t>
      </w:r>
      <w:r>
        <w:rPr>
          <w:i/>
          <w:iCs/>
        </w:rPr>
        <w:t xml:space="preserve">Trapezia</w:t>
      </w:r>
      <w:r>
        <w:t xml:space="preserve"> </w:t>
      </w:r>
      <w:r>
        <w:t xml:space="preserve">sp. guard crab; (E)</w:t>
      </w:r>
      <w:r>
        <w:t xml:space="preserve"> </w:t>
      </w:r>
      <w:r>
        <w:rPr>
          <w:i/>
          <w:iCs/>
        </w:rPr>
        <w:t xml:space="preserve">Harpiliopsis spinigera</w:t>
      </w:r>
      <w:r>
        <w:t xml:space="preserve">, an obligate coral shrimp; (F)</w:t>
      </w:r>
      <w:r>
        <w:t xml:space="preserve"> </w:t>
      </w:r>
      <w:r>
        <w:rPr>
          <w:i/>
          <w:iCs/>
        </w:rPr>
        <w:t xml:space="preserve">Neocirrhites armatus</w:t>
      </w:r>
      <w:r>
        <w:t xml:space="preserve"> </w:t>
      </w:r>
      <w:r>
        <w:t xml:space="preserve">(flame hawkfish).</w:t>
      </w:r>
    </w:p>
    <w:p>
      <w:pPr>
        <w:pStyle w:val="CaptionedFigure"/>
      </w:pPr>
      <w:r>
        <w:drawing>
          <wp:inline>
            <wp:extent cx="5334000" cy="4445000"/>
            <wp:effectExtent b="0" l="0" r="0" t="0"/>
            <wp:docPr descr="Fig. 1. Study design and representative CAFI." title="" id="42" name="Picture"/>
            <a:graphic>
              <a:graphicData uri="http://schemas.openxmlformats.org/drawingml/2006/picture">
                <pic:pic>
                  <pic:nvPicPr>
                    <pic:cNvPr descr="../output/figures/manuscript/fig1_study_design.png" id="43" name="Picture"/>
                    <pic:cNvPicPr>
                      <a:picLocks noChangeArrowheads="1" noChangeAspect="1"/>
                    </pic:cNvPicPr>
                  </pic:nvPicPr>
                  <pic:blipFill>
                    <a:blip r:embed="rId41"/>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 1. Study design and representative CAFI.</w:t>
      </w:r>
    </w:p>
    <w:p>
      <w:pPr>
        <w:pStyle w:val="BodyText"/>
      </w:pPr>
      <w:r>
        <w:rPr>
          <w:b/>
          <w:bCs/>
        </w:rPr>
        <w:t xml:space="preserve">Fig. 2.</w:t>
      </w:r>
      <w:r>
        <w:t xml:space="preserve"> </w:t>
      </w:r>
      <w:r>
        <w:t xml:space="preserve">CAFI abundance and richness scaling with coral volume (n = 112; log–log scale). (A) Total abundance scales sublinearly (β = 0.52 [0.44, 0.62], p &lt; 0.001 vs β = 1); solid curve: negative binomial GLM; dashed line: proportional scaling. (B) Per-capita density declines with colony size (slope = −0.48), confirming density dilution. (C) Species richness scales sublinearly (z = 0.34 [0.27, 0.42], p &lt; 0.001). Points colored by site (purple = Hauru, slate = Maatea, green = Maharepa).</w:t>
      </w:r>
    </w:p>
    <w:p>
      <w:pPr>
        <w:pStyle w:val="CaptionedFigure"/>
      </w:pPr>
      <w:r>
        <w:drawing>
          <wp:inline>
            <wp:extent cx="3208795" cy="7211394"/>
            <wp:effectExtent b="0" l="0" r="0" t="0"/>
            <wp:docPr descr="Fig. 2. CAFI scaling with coral volume." title="" id="45" name="Picture"/>
            <a:graphic>
              <a:graphicData uri="http://schemas.openxmlformats.org/drawingml/2006/picture">
                <pic:pic>
                  <pic:nvPicPr>
                    <pic:cNvPr descr="../output/figures/manuscript/fig2_scaling.png" id="46" name="Picture"/>
                    <pic:cNvPicPr>
                      <a:picLocks noChangeArrowheads="1" noChangeAspect="1"/>
                    </pic:cNvPicPr>
                  </pic:nvPicPr>
                  <pic:blipFill>
                    <a:blip r:embed="rId44"/>
                    <a:stretch>
                      <a:fillRect/>
                    </a:stretch>
                  </pic:blipFill>
                  <pic:spPr bwMode="auto">
                    <a:xfrm>
                      <a:off x="0" y="0"/>
                      <a:ext cx="3208795" cy="7211394"/>
                    </a:xfrm>
                    <a:prstGeom prst="rect">
                      <a:avLst/>
                    </a:prstGeom>
                    <a:noFill/>
                    <a:ln w="9525">
                      <a:noFill/>
                      <a:headEnd/>
                      <a:tailEnd/>
                    </a:ln>
                  </pic:spPr>
                </pic:pic>
              </a:graphicData>
            </a:graphic>
          </wp:inline>
        </w:drawing>
      </w:r>
    </w:p>
    <w:p>
      <w:pPr>
        <w:pStyle w:val="ImageCaption"/>
      </w:pPr>
      <w:r>
        <w:t xml:space="preserve">Fig. 2. CAFI scaling with coral volume.</w:t>
      </w:r>
    </w:p>
    <w:p>
      <w:pPr>
        <w:pStyle w:val="BodyText"/>
      </w:pPr>
      <w:r>
        <w:rPr>
          <w:b/>
          <w:bCs/>
        </w:rPr>
        <w:t xml:space="preserve">Fig. 3.</w:t>
      </w:r>
      <w:r>
        <w:t xml:space="preserve"> </w:t>
      </w:r>
      <w:r>
        <w:t xml:space="preserve">Scaling of individual species and taxonomic groups with coral volume. (A) Abundance versus volume for the 10 most prevalent species (negative binomial GLMs, log–log scale). (B) Abundance versus volume for four broad taxonomic groups (crabs, shrimps, fishes, snails); the six finer groups used in statistical analyses (separating</w:t>
      </w:r>
      <w:r>
        <w:t xml:space="preserve"> </w:t>
      </w:r>
      <w:r>
        <w:rPr>
          <w:i/>
          <w:iCs/>
        </w:rPr>
        <w:t xml:space="preserve">Trapezia</w:t>
      </w:r>
      <w:r>
        <w:t xml:space="preserve"> </w:t>
      </w:r>
      <w:r>
        <w:t xml:space="preserve">from other crabs, and other invertebrates) are shown in panel D. (C) Species-level scaling exponents (β) with 95% bootstrap CI. Blue: Redirection (β &lt; 1); gray: Field of Dreams (CI spans 1); vermillion: super-linear (β &gt; 1). (D) Group-level scaling exponents for all six taxonomic groups. Dashed vertical line: proportional scaling (β = 1).</w:t>
      </w:r>
    </w:p>
    <w:p>
      <w:pPr>
        <w:pStyle w:val="CaptionedFigure"/>
      </w:pPr>
      <w:r>
        <w:drawing>
          <wp:inline>
            <wp:extent cx="5334000" cy="5246375"/>
            <wp:effectExtent b="0" l="0" r="0" t="0"/>
            <wp:docPr descr="Fig. 3. Species and group scaling." title="" id="48" name="Picture"/>
            <a:graphic>
              <a:graphicData uri="http://schemas.openxmlformats.org/drawingml/2006/picture">
                <pic:pic>
                  <pic:nvPicPr>
                    <pic:cNvPr descr="../output/figures/manuscript/fig3_species_group_scaling.png" id="49" name="Picture"/>
                    <pic:cNvPicPr>
                      <a:picLocks noChangeArrowheads="1" noChangeAspect="1"/>
                    </pic:cNvPicPr>
                  </pic:nvPicPr>
                  <pic:blipFill>
                    <a:blip r:embed="rId47"/>
                    <a:stretch>
                      <a:fillRect/>
                    </a:stretch>
                  </pic:blipFill>
                  <pic:spPr bwMode="auto">
                    <a:xfrm>
                      <a:off x="0" y="0"/>
                      <a:ext cx="5334000" cy="5246375"/>
                    </a:xfrm>
                    <a:prstGeom prst="rect">
                      <a:avLst/>
                    </a:prstGeom>
                    <a:noFill/>
                    <a:ln w="9525">
                      <a:noFill/>
                      <a:headEnd/>
                      <a:tailEnd/>
                    </a:ln>
                  </pic:spPr>
                </pic:pic>
              </a:graphicData>
            </a:graphic>
          </wp:inline>
        </w:drawing>
      </w:r>
    </w:p>
    <w:p>
      <w:pPr>
        <w:pStyle w:val="ImageCaption"/>
      </w:pPr>
      <w:r>
        <w:t xml:space="preserve">Fig. 3. Species and group scaling.</w:t>
      </w:r>
    </w:p>
    <w:p>
      <w:pPr>
        <w:pStyle w:val="BodyText"/>
      </w:pPr>
      <w:r>
        <w:rPr>
          <w:b/>
          <w:bCs/>
        </w:rPr>
        <w:t xml:space="preserve">Fig. 4.</w:t>
      </w:r>
      <w:r>
        <w:t xml:space="preserve"> </w:t>
      </w:r>
      <w:r>
        <w:t xml:space="preserve">CAFI community composition across reef sites and the coral size gradient (n = 112). (A) Distance-based redundancy analysis (db-RDA) biplot after partialing out site effects; coral volume explains 7.8% of compositional variation (F = 9.74, p = 0.001). Point size proportional to coral volume; ellipses: 80% CI by site; vectors: top species loadings on the constrained axis. (B) Relative abundance of major taxonomic groups at each site.</w:t>
      </w:r>
    </w:p>
    <w:p>
      <w:pPr>
        <w:pStyle w:val="CaptionedFigure"/>
      </w:pPr>
      <w:r>
        <w:drawing>
          <wp:inline>
            <wp:extent cx="5334000" cy="3206323"/>
            <wp:effectExtent b="0" l="0" r="0" t="0"/>
            <wp:docPr descr="Fig. 4. Community composition." title="" id="51" name="Picture"/>
            <a:graphic>
              <a:graphicData uri="http://schemas.openxmlformats.org/drawingml/2006/picture">
                <pic:pic>
                  <pic:nvPicPr>
                    <pic:cNvPr descr="../output/figures/manuscript/fig4_composition.png" id="52" name="Picture"/>
                    <pic:cNvPicPr>
                      <a:picLocks noChangeArrowheads="1" noChangeAspect="1"/>
                    </pic:cNvPicPr>
                  </pic:nvPicPr>
                  <pic:blipFill>
                    <a:blip r:embed="rId50"/>
                    <a:stretch>
                      <a:fillRect/>
                    </a:stretch>
                  </pic:blipFill>
                  <pic:spPr bwMode="auto">
                    <a:xfrm>
                      <a:off x="0" y="0"/>
                      <a:ext cx="5334000" cy="3206323"/>
                    </a:xfrm>
                    <a:prstGeom prst="rect">
                      <a:avLst/>
                    </a:prstGeom>
                    <a:noFill/>
                    <a:ln w="9525">
                      <a:noFill/>
                      <a:headEnd/>
                      <a:tailEnd/>
                    </a:ln>
                  </pic:spPr>
                </pic:pic>
              </a:graphicData>
            </a:graphic>
          </wp:inline>
        </w:drawing>
      </w:r>
    </w:p>
    <w:p>
      <w:pPr>
        <w:pStyle w:val="ImageCaption"/>
      </w:pPr>
      <w:r>
        <w:t xml:space="preserve">Fig. 4. Community composition.</w:t>
      </w:r>
    </w:p>
    <w:p>
      <w:pPr>
        <w:pStyle w:val="BodyText"/>
      </w:pPr>
      <w:r>
        <w:rPr>
          <w:b/>
          <w:bCs/>
        </w:rPr>
        <w:t xml:space="preserve">Fig. 5.</w:t>
      </w:r>
      <w:r>
        <w:t xml:space="preserve"> </w:t>
      </w:r>
      <w:r>
        <w:t xml:space="preserve">CAFI diversity and abundance as predictors of coral condition (n = 84). Condition score = PC1 of four physiological traits (protein, carbohydrates, zooxanthellae density, AFDW). (A) Species richness positively predicted condition (standardized β = 0.36, Hochberg-adjusted p = 0.036). (B) Total CAFI abundance showed a weaker association (p = 0.048). Points colored by site; solid lines: marginal fits adjusted for log(volume) and site; shading: 95% CI.</w:t>
      </w:r>
    </w:p>
    <w:p>
      <w:pPr>
        <w:pStyle w:val="CaptionedFigure"/>
      </w:pPr>
      <w:r>
        <w:drawing>
          <wp:inline>
            <wp:extent cx="5334000" cy="2915064"/>
            <wp:effectExtent b="0" l="0" r="0" t="0"/>
            <wp:docPr descr="Fig. 5. BEF diversity-condition." title="" id="54" name="Picture"/>
            <a:graphic>
              <a:graphicData uri="http://schemas.openxmlformats.org/drawingml/2006/picture">
                <pic:pic>
                  <pic:nvPicPr>
                    <pic:cNvPr descr="../output/figures/manuscript/fig5_feedbacks.png" id="55" name="Picture"/>
                    <pic:cNvPicPr>
                      <a:picLocks noChangeArrowheads="1" noChangeAspect="1"/>
                    </pic:cNvPicPr>
                  </pic:nvPicPr>
                  <pic:blipFill>
                    <a:blip r:embed="rId53"/>
                    <a:stretch>
                      <a:fillRect/>
                    </a:stretch>
                  </pic:blipFill>
                  <pic:spPr bwMode="auto">
                    <a:xfrm>
                      <a:off x="0" y="0"/>
                      <a:ext cx="5334000" cy="2915064"/>
                    </a:xfrm>
                    <a:prstGeom prst="rect">
                      <a:avLst/>
                    </a:prstGeom>
                    <a:noFill/>
                    <a:ln w="9525">
                      <a:noFill/>
                      <a:headEnd/>
                      <a:tailEnd/>
                    </a:ln>
                  </pic:spPr>
                </pic:pic>
              </a:graphicData>
            </a:graphic>
          </wp:inline>
        </w:drawing>
      </w:r>
    </w:p>
    <w:p>
      <w:pPr>
        <w:pStyle w:val="ImageCaption"/>
      </w:pPr>
      <w:r>
        <w:t xml:space="preserve">Fig. 5. BEF diversity-condition.</w:t>
      </w:r>
    </w:p>
    <w:p>
      <w:r>
        <w:pict>
          <v:rect style="width:0;height:1.5pt" o:hralign="center" o:hrstd="t" o:hr="t"/>
        </w:pict>
      </w:r>
    </w:p>
    <w:bookmarkEnd w:id="56"/>
    <w:bookmarkStart w:id="113" w:name="references"/>
    <w:p>
      <w:pPr>
        <w:pStyle w:val="Heading2"/>
      </w:pPr>
      <w:r>
        <w:t xml:space="preserve">References</w:t>
      </w:r>
    </w:p>
    <w:bookmarkStart w:id="112" w:name="refs"/>
    <w:bookmarkStart w:id="58" w:name="ref-Abele1976"/>
    <w:p>
      <w:pPr>
        <w:pStyle w:val="Bibliography"/>
      </w:pPr>
      <w:r>
        <w:t xml:space="preserve">Abele, L. G., &amp; Patton, W. K. (1976). The size of coral heads and the community biology of associated decapod crustaceans.</w:t>
      </w:r>
      <w:r>
        <w:t xml:space="preserve"> </w:t>
      </w:r>
      <w:r>
        <w:rPr>
          <w:i/>
          <w:iCs/>
        </w:rPr>
        <w:t xml:space="preserve">Journal of Biogeography</w:t>
      </w:r>
      <w:r>
        <w:t xml:space="preserve">,</w:t>
      </w:r>
      <w:r>
        <w:t xml:space="preserve"> </w:t>
      </w:r>
      <w:r>
        <w:rPr>
          <w:i/>
          <w:iCs/>
        </w:rPr>
        <w:t xml:space="preserve">3</w:t>
      </w:r>
      <w:r>
        <w:t xml:space="preserve">, 35–47.</w:t>
      </w:r>
      <w:r>
        <w:t xml:space="preserve"> </w:t>
      </w:r>
      <w:hyperlink r:id="rId57">
        <w:r>
          <w:rPr>
            <w:rStyle w:val="Hyperlink"/>
          </w:rPr>
          <w:t xml:space="preserve">https://doi.org/10.2307/3038097</w:t>
        </w:r>
      </w:hyperlink>
    </w:p>
    <w:bookmarkEnd w:id="58"/>
    <w:bookmarkStart w:id="60" w:name="ref-Anderson2005"/>
    <w:p>
      <w:pPr>
        <w:pStyle w:val="Bibliography"/>
      </w:pPr>
      <w:r>
        <w:t xml:space="preserve">Anderson, M. J., Diebel, C. E., Blom, W. M., &amp; Landers, T. J. (2005). Consistency and variation in kelp holdfast assemblages: Spatial patterns of biodiversity for the major phyla at different taxonomic resolutions.</w:t>
      </w:r>
      <w:r>
        <w:t xml:space="preserve"> </w:t>
      </w:r>
      <w:r>
        <w:rPr>
          <w:i/>
          <w:iCs/>
        </w:rPr>
        <w:t xml:space="preserve">Journal of Experimental Marine Biology and Ecology</w:t>
      </w:r>
      <w:r>
        <w:t xml:space="preserve">,</w:t>
      </w:r>
      <w:r>
        <w:t xml:space="preserve"> </w:t>
      </w:r>
      <w:r>
        <w:rPr>
          <w:i/>
          <w:iCs/>
        </w:rPr>
        <w:t xml:space="preserve">320</w:t>
      </w:r>
      <w:r>
        <w:t xml:space="preserve">, 35–56.</w:t>
      </w:r>
      <w:r>
        <w:t xml:space="preserve"> </w:t>
      </w:r>
      <w:hyperlink r:id="rId59">
        <w:r>
          <w:rPr>
            <w:rStyle w:val="Hyperlink"/>
          </w:rPr>
          <w:t xml:space="preserve">https://doi.org/10.1016/j.jembe.2004.12.023</w:t>
        </w:r>
      </w:hyperlink>
    </w:p>
    <w:bookmarkEnd w:id="60"/>
    <w:bookmarkStart w:id="62" w:name="ref-Bronstein1994"/>
    <w:p>
      <w:pPr>
        <w:pStyle w:val="Bibliography"/>
      </w:pPr>
      <w:r>
        <w:t xml:space="preserve">Bronstein, J. L. (1994). Conditional outcomes in mutualistic interactions.</w:t>
      </w:r>
      <w:r>
        <w:t xml:space="preserve"> </w:t>
      </w:r>
      <w:r>
        <w:rPr>
          <w:i/>
          <w:iCs/>
        </w:rPr>
        <w:t xml:space="preserve">Trends in Ecology &amp; Evolution</w:t>
      </w:r>
      <w:r>
        <w:t xml:space="preserve">,</w:t>
      </w:r>
      <w:r>
        <w:t xml:space="preserve"> </w:t>
      </w:r>
      <w:r>
        <w:rPr>
          <w:i/>
          <w:iCs/>
        </w:rPr>
        <w:t xml:space="preserve">9</w:t>
      </w:r>
      <w:r>
        <w:t xml:space="preserve">, 214–217.</w:t>
      </w:r>
      <w:r>
        <w:t xml:space="preserve"> </w:t>
      </w:r>
      <w:hyperlink r:id="rId61">
        <w:r>
          <w:rPr>
            <w:rStyle w:val="Hyperlink"/>
          </w:rPr>
          <w:t xml:space="preserve">https://doi.org/10.1016/0169-5347(94)90246-1</w:t>
        </w:r>
      </w:hyperlink>
    </w:p>
    <w:bookmarkEnd w:id="62"/>
    <w:bookmarkStart w:id="64" w:name="ref-Burgess2021"/>
    <w:p>
      <w:pPr>
        <w:pStyle w:val="Bibliography"/>
      </w:pPr>
      <w:r>
        <w:t xml:space="preserve">Burgess, S. C., Johnston, E. C., Wyatt, A. S. J., Leichter, J. J., &amp; Edmunds, P. J. (2021). Response diversity in corals: Hidden differences in bleaching mortality among cryptic</w:t>
      </w:r>
      <w:r>
        <w:t xml:space="preserve"> </w:t>
      </w:r>
      <w:r>
        <w:rPr>
          <w:i/>
          <w:iCs/>
        </w:rPr>
        <w:t xml:space="preserve">Pocillopora</w:t>
      </w:r>
      <w:r>
        <w:t xml:space="preserve"> </w:t>
      </w:r>
      <w:r>
        <w:t xml:space="preserve">species.</w:t>
      </w:r>
      <w:r>
        <w:t xml:space="preserve"> </w:t>
      </w:r>
      <w:r>
        <w:rPr>
          <w:i/>
          <w:iCs/>
        </w:rPr>
        <w:t xml:space="preserve">Ecology</w:t>
      </w:r>
      <w:r>
        <w:t xml:space="preserve">,</w:t>
      </w:r>
      <w:r>
        <w:t xml:space="preserve"> </w:t>
      </w:r>
      <w:r>
        <w:rPr>
          <w:i/>
          <w:iCs/>
        </w:rPr>
        <w:t xml:space="preserve">102</w:t>
      </w:r>
      <w:r>
        <w:t xml:space="preserve">(6), e03324.</w:t>
      </w:r>
      <w:r>
        <w:t xml:space="preserve"> </w:t>
      </w:r>
      <w:hyperlink r:id="rId63">
        <w:r>
          <w:rPr>
            <w:rStyle w:val="Hyperlink"/>
          </w:rPr>
          <w:t xml:space="preserve">https://doi.org/10.1002/ecy.3324</w:t>
        </w:r>
      </w:hyperlink>
    </w:p>
    <w:bookmarkEnd w:id="64"/>
    <w:bookmarkStart w:id="66" w:name="ref-Castro1978"/>
    <w:p>
      <w:pPr>
        <w:pStyle w:val="Bibliography"/>
      </w:pPr>
      <w:r>
        <w:t xml:space="preserve">Castro, P. (1978). Movements between coral colonies in</w:t>
      </w:r>
      <w:r>
        <w:t xml:space="preserve"> </w:t>
      </w:r>
      <w:r>
        <w:rPr>
          <w:i/>
          <w:iCs/>
        </w:rPr>
        <w:t xml:space="preserve">trapezia ferruginea</w:t>
      </w:r>
      <w:r>
        <w:t xml:space="preserve"> </w:t>
      </w:r>
      <w:r>
        <w:t xml:space="preserve">(</w:t>
      </w:r>
      <w:r>
        <w:t xml:space="preserve">Crustacea</w:t>
      </w:r>
      <w:r>
        <w:t xml:space="preserve">:</w:t>
      </w:r>
      <w:r>
        <w:t xml:space="preserve"> </w:t>
      </w:r>
      <w:r>
        <w:t xml:space="preserve">Brachyura</w:t>
      </w:r>
      <w:r>
        <w:t xml:space="preserve">), an obligate symbiont of scleractinian corals.</w:t>
      </w:r>
      <w:r>
        <w:t xml:space="preserve"> </w:t>
      </w:r>
      <w:r>
        <w:rPr>
          <w:i/>
          <w:iCs/>
        </w:rPr>
        <w:t xml:space="preserve">Marine Biology</w:t>
      </w:r>
      <w:r>
        <w:t xml:space="preserve">,</w:t>
      </w:r>
      <w:r>
        <w:t xml:space="preserve"> </w:t>
      </w:r>
      <w:r>
        <w:rPr>
          <w:i/>
          <w:iCs/>
        </w:rPr>
        <w:t xml:space="preserve">46</w:t>
      </w:r>
      <w:r>
        <w:t xml:space="preserve">, 237–245.</w:t>
      </w:r>
      <w:r>
        <w:t xml:space="preserve"> </w:t>
      </w:r>
      <w:hyperlink r:id="rId65">
        <w:r>
          <w:rPr>
            <w:rStyle w:val="Hyperlink"/>
          </w:rPr>
          <w:t xml:space="preserve">https://doi.org/10.1007/BF00390685</w:t>
        </w:r>
      </w:hyperlink>
    </w:p>
    <w:bookmarkEnd w:id="66"/>
    <w:bookmarkStart w:id="68" w:name="ref-Champely2020"/>
    <w:p>
      <w:pPr>
        <w:pStyle w:val="Bibliography"/>
      </w:pPr>
      <w:r>
        <w:t xml:space="preserve">Champely, S. (2020).</w:t>
      </w:r>
      <w:r>
        <w:t xml:space="preserve"> </w:t>
      </w:r>
      <w:r>
        <w:rPr>
          <w:i/>
          <w:iCs/>
        </w:rPr>
        <w:t xml:space="preserve">Pwr: Basic functions for power analysis</w:t>
      </w:r>
      <w:r>
        <w:t xml:space="preserve">.</w:t>
      </w:r>
      <w:r>
        <w:t xml:space="preserve"> </w:t>
      </w:r>
      <w:hyperlink r:id="rId67">
        <w:r>
          <w:rPr>
            <w:rStyle w:val="Hyperlink"/>
          </w:rPr>
          <w:t xml:space="preserve">https://CRAN.R-project.org/package=pwr</w:t>
        </w:r>
      </w:hyperlink>
    </w:p>
    <w:bookmarkEnd w:id="68"/>
    <w:bookmarkStart w:id="70" w:name="ref-Chase2011"/>
    <w:p>
      <w:pPr>
        <w:pStyle w:val="Bibliography"/>
      </w:pPr>
      <w:r>
        <w:t xml:space="preserve">Chase, J. M., Kraft, N. J. B., Smith, K. G., Vellend, M., &amp; Inouye, B. D. (2011). Using null models to disentangle variation in community dissimilarity from variation in</w:t>
      </w:r>
      <w:r>
        <w:t xml:space="preserve"> </w:t>
      </w:r>
      <m:oMath>
        <m:r>
          <m:t>α</m:t>
        </m:r>
      </m:oMath>
      <w:r>
        <w:t xml:space="preserve">-diversity.</w:t>
      </w:r>
      <w:r>
        <w:t xml:space="preserve"> </w:t>
      </w:r>
      <w:r>
        <w:rPr>
          <w:i/>
          <w:iCs/>
        </w:rPr>
        <w:t xml:space="preserve">Ecosphere</w:t>
      </w:r>
      <w:r>
        <w:t xml:space="preserve">,</w:t>
      </w:r>
      <w:r>
        <w:t xml:space="preserve"> </w:t>
      </w:r>
      <w:r>
        <w:rPr>
          <w:i/>
          <w:iCs/>
        </w:rPr>
        <w:t xml:space="preserve">2</w:t>
      </w:r>
      <w:r>
        <w:t xml:space="preserve">(2), art24.</w:t>
      </w:r>
      <w:r>
        <w:t xml:space="preserve"> </w:t>
      </w:r>
      <w:hyperlink r:id="rId69">
        <w:r>
          <w:rPr>
            <w:rStyle w:val="Hyperlink"/>
          </w:rPr>
          <w:t xml:space="preserve">https://doi.org/10.1890/ES10-00117.1</w:t>
        </w:r>
      </w:hyperlink>
    </w:p>
    <w:bookmarkEnd w:id="70"/>
    <w:bookmarkStart w:id="72" w:name="ref-Chase2018"/>
    <w:p>
      <w:pPr>
        <w:pStyle w:val="Bibliography"/>
      </w:pPr>
      <w:r>
        <w:t xml:space="preserve">Chase, T. J., Pratchett, M. S., Frank, G. E., &amp; Hoogenboom, M. O. (2018). Coral-dwelling fish moderate bleaching susceptibility of coral hosts.</w:t>
      </w:r>
      <w:r>
        <w:t xml:space="preserve"> </w:t>
      </w:r>
      <w:r>
        <w:rPr>
          <w:i/>
          <w:iCs/>
        </w:rPr>
        <w:t xml:space="preserve">PLoS ONE</w:t>
      </w:r>
      <w:r>
        <w:t xml:space="preserve">,</w:t>
      </w:r>
      <w:r>
        <w:t xml:space="preserve"> </w:t>
      </w:r>
      <w:r>
        <w:rPr>
          <w:i/>
          <w:iCs/>
        </w:rPr>
        <w:t xml:space="preserve">13</w:t>
      </w:r>
      <w:r>
        <w:t xml:space="preserve">, e0208545.</w:t>
      </w:r>
      <w:r>
        <w:t xml:space="preserve"> </w:t>
      </w:r>
      <w:hyperlink r:id="rId71">
        <w:r>
          <w:rPr>
            <w:rStyle w:val="Hyperlink"/>
          </w:rPr>
          <w:t xml:space="preserve">https://doi.org/10.1371/journal.pone.0208545</w:t>
        </w:r>
      </w:hyperlink>
    </w:p>
    <w:bookmarkEnd w:id="72"/>
    <w:bookmarkStart w:id="74" w:name="ref-Counsell2018"/>
    <w:p>
      <w:pPr>
        <w:pStyle w:val="Bibliography"/>
      </w:pPr>
      <w:r>
        <w:t xml:space="preserve">Counsell, C. W. W., Donahue, M. J., Edwards, K. F., Franklin, E. C., &amp; Hixon, M. A. (2018). Variation in coral-associated cryptofaunal communities across spatial scales and environmental gradients.</w:t>
      </w:r>
      <w:r>
        <w:t xml:space="preserve"> </w:t>
      </w:r>
      <w:r>
        <w:rPr>
          <w:i/>
          <w:iCs/>
        </w:rPr>
        <w:t xml:space="preserve">Coral Reefs</w:t>
      </w:r>
      <w:r>
        <w:t xml:space="preserve">,</w:t>
      </w:r>
      <w:r>
        <w:t xml:space="preserve"> </w:t>
      </w:r>
      <w:r>
        <w:rPr>
          <w:i/>
          <w:iCs/>
        </w:rPr>
        <w:t xml:space="preserve">37</w:t>
      </w:r>
      <w:r>
        <w:t xml:space="preserve">, 827–840.</w:t>
      </w:r>
      <w:r>
        <w:t xml:space="preserve"> </w:t>
      </w:r>
      <w:hyperlink r:id="rId73">
        <w:r>
          <w:rPr>
            <w:rStyle w:val="Hyperlink"/>
          </w:rPr>
          <w:t xml:space="preserve">https://doi.org/10.1007/s00338-018-1709-7</w:t>
        </w:r>
      </w:hyperlink>
    </w:p>
    <w:bookmarkEnd w:id="74"/>
    <w:bookmarkStart w:id="76" w:name="ref-FonsecaGanade1996"/>
    <w:p>
      <w:pPr>
        <w:pStyle w:val="Bibliography"/>
      </w:pPr>
      <w:r>
        <w:t xml:space="preserve">Fonseca, C. R., &amp; Ganade, G. (1996). Asymmetries, compartments and null interactions in an</w:t>
      </w:r>
      <w:r>
        <w:t xml:space="preserve"> </w:t>
      </w:r>
      <w:r>
        <w:t xml:space="preserve">Amazonian</w:t>
      </w:r>
      <w:r>
        <w:t xml:space="preserve"> </w:t>
      </w:r>
      <w:r>
        <w:t xml:space="preserve">ant-plant community.</w:t>
      </w:r>
      <w:r>
        <w:t xml:space="preserve"> </w:t>
      </w:r>
      <w:r>
        <w:rPr>
          <w:i/>
          <w:iCs/>
        </w:rPr>
        <w:t xml:space="preserve">Journal of Animal Ecology</w:t>
      </w:r>
      <w:r>
        <w:t xml:space="preserve">,</w:t>
      </w:r>
      <w:r>
        <w:t xml:space="preserve"> </w:t>
      </w:r>
      <w:r>
        <w:rPr>
          <w:i/>
          <w:iCs/>
        </w:rPr>
        <w:t xml:space="preserve">65</w:t>
      </w:r>
      <w:r>
        <w:t xml:space="preserve">, 339–347.</w:t>
      </w:r>
      <w:r>
        <w:t xml:space="preserve"> </w:t>
      </w:r>
      <w:hyperlink r:id="rId75">
        <w:r>
          <w:rPr>
            <w:rStyle w:val="Hyperlink"/>
          </w:rPr>
          <w:t xml:space="preserve">https://doi.org/10.2307/5880</w:t>
        </w:r>
      </w:hyperlink>
    </w:p>
    <w:bookmarkEnd w:id="76"/>
    <w:bookmarkStart w:id="77" w:name="ref-Glynn1983"/>
    <w:p>
      <w:pPr>
        <w:pStyle w:val="Bibliography"/>
      </w:pPr>
      <w:r>
        <w:t xml:space="preserve">Glynn, P. W. (1983). Increased survivorship in corals harboring crustacean symbionts.</w:t>
      </w:r>
      <w:r>
        <w:t xml:space="preserve"> </w:t>
      </w:r>
      <w:r>
        <w:rPr>
          <w:i/>
          <w:iCs/>
        </w:rPr>
        <w:t xml:space="preserve">Marine Biology Letters</w:t>
      </w:r>
      <w:r>
        <w:t xml:space="preserve">,</w:t>
      </w:r>
      <w:r>
        <w:t xml:space="preserve"> </w:t>
      </w:r>
      <w:r>
        <w:rPr>
          <w:i/>
          <w:iCs/>
        </w:rPr>
        <w:t xml:space="preserve">4</w:t>
      </w:r>
      <w:r>
        <w:t xml:space="preserve">, 105–111.</w:t>
      </w:r>
    </w:p>
    <w:bookmarkEnd w:id="77"/>
    <w:bookmarkStart w:id="79" w:name="ref-Haddad2015"/>
    <w:p>
      <w:pPr>
        <w:pStyle w:val="Bibliography"/>
      </w:pPr>
      <w: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w:t>
      </w:r>
      <w:r>
        <w:t xml:space="preserve"> </w:t>
      </w:r>
      <w:r>
        <w:t xml:space="preserve">Earth’s</w:t>
      </w:r>
      <w:r>
        <w:t xml:space="preserve"> </w:t>
      </w:r>
      <w:r>
        <w:t xml:space="preserve">ecosystems.</w:t>
      </w:r>
      <w:r>
        <w:t xml:space="preserve"> </w:t>
      </w:r>
      <w:r>
        <w:rPr>
          <w:i/>
          <w:iCs/>
        </w:rPr>
        <w:t xml:space="preserve">Science Advances</w:t>
      </w:r>
      <w:r>
        <w:t xml:space="preserve">,</w:t>
      </w:r>
      <w:r>
        <w:t xml:space="preserve"> </w:t>
      </w:r>
      <w:r>
        <w:rPr>
          <w:i/>
          <w:iCs/>
        </w:rPr>
        <w:t xml:space="preserve">1</w:t>
      </w:r>
      <w:r>
        <w:t xml:space="preserve">, e1500052.</w:t>
      </w:r>
      <w:r>
        <w:t xml:space="preserve"> </w:t>
      </w:r>
      <w:hyperlink r:id="rId78">
        <w:r>
          <w:rPr>
            <w:rStyle w:val="Hyperlink"/>
          </w:rPr>
          <w:t xml:space="preserve">https://doi.org/10.1126/sciadv.1500052</w:t>
        </w:r>
      </w:hyperlink>
    </w:p>
    <w:bookmarkEnd w:id="79"/>
    <w:bookmarkStart w:id="81" w:name="ref-Hamman2018"/>
    <w:p>
      <w:pPr>
        <w:pStyle w:val="Bibliography"/>
      </w:pPr>
      <w:r>
        <w:t xml:space="preserve">Hamman, E. A., McKinley, S. A., Stier, A. C., &amp; Osenberg, C. W. (2018). Landscape configuration drives persistent spatial patterns of occupant distributions.</w:t>
      </w:r>
      <w:r>
        <w:t xml:space="preserve"> </w:t>
      </w:r>
      <w:r>
        <w:rPr>
          <w:i/>
          <w:iCs/>
        </w:rPr>
        <w:t xml:space="preserve">Theoretical Ecology</w:t>
      </w:r>
      <w:r>
        <w:t xml:space="preserve">,</w:t>
      </w:r>
      <w:r>
        <w:t xml:space="preserve"> </w:t>
      </w:r>
      <w:r>
        <w:rPr>
          <w:i/>
          <w:iCs/>
        </w:rPr>
        <w:t xml:space="preserve">11</w:t>
      </w:r>
      <w:r>
        <w:t xml:space="preserve">, 111–127.</w:t>
      </w:r>
      <w:r>
        <w:t xml:space="preserve"> </w:t>
      </w:r>
      <w:hyperlink r:id="rId80">
        <w:r>
          <w:rPr>
            <w:rStyle w:val="Hyperlink"/>
          </w:rPr>
          <w:t xml:space="preserve">https://doi.org/10.1007/s12080-017-0352-1</w:t>
        </w:r>
      </w:hyperlink>
    </w:p>
    <w:bookmarkEnd w:id="81"/>
    <w:bookmarkStart w:id="83" w:name="ref-Hector1999"/>
    <w:p>
      <w:pPr>
        <w:pStyle w:val="Bibliography"/>
      </w:pPr>
      <w:r>
        <w:t xml:space="preserve">Hector, A., Schmid, B., Beierkuhnlein, C., Caldeira, M. C., Diemer, M., Dimitrakopoulos, P. G., Finn, J. A., Freitas, H., Giller, P. S., Good, J., Harris, R., Högberg, P., Huss-Danell, K., Joshi, J., Jumpponen, A., Körner, C., Leadley, P. W., Loreau, M., Minns, A., … Lawton, J. H. (1999). Plant diversity and productivity experiments in</w:t>
      </w:r>
      <w:r>
        <w:t xml:space="preserve"> </w:t>
      </w:r>
      <w:r>
        <w:t xml:space="preserve">European</w:t>
      </w:r>
      <w:r>
        <w:t xml:space="preserve"> </w:t>
      </w:r>
      <w:r>
        <w:t xml:space="preserve">grasslands.</w:t>
      </w:r>
      <w:r>
        <w:t xml:space="preserve"> </w:t>
      </w:r>
      <w:r>
        <w:rPr>
          <w:i/>
          <w:iCs/>
        </w:rPr>
        <w:t xml:space="preserve">Science</w:t>
      </w:r>
      <w:r>
        <w:t xml:space="preserve">,</w:t>
      </w:r>
      <w:r>
        <w:t xml:space="preserve"> </w:t>
      </w:r>
      <w:r>
        <w:rPr>
          <w:i/>
          <w:iCs/>
        </w:rPr>
        <w:t xml:space="preserve">286</w:t>
      </w:r>
      <w:r>
        <w:t xml:space="preserve">, 1123–1127.</w:t>
      </w:r>
      <w:r>
        <w:t xml:space="preserve"> </w:t>
      </w:r>
      <w:hyperlink r:id="rId82">
        <w:r>
          <w:rPr>
            <w:rStyle w:val="Hyperlink"/>
          </w:rPr>
          <w:t xml:space="preserve">https://doi.org/10.1126/science.286.5442.1123</w:t>
        </w:r>
      </w:hyperlink>
    </w:p>
    <w:bookmarkEnd w:id="83"/>
    <w:bookmarkStart w:id="85" w:name="ref-Holbrook2008"/>
    <w:p>
      <w:pPr>
        <w:pStyle w:val="Bibliography"/>
      </w:pPr>
      <w:r>
        <w:t xml:space="preserve">Holbrook, S. J., Brooks, A. J., Schmitt, R. J., &amp; Stewart, H. L. (2008). Effects of sheltering fish on growth of their host corals.</w:t>
      </w:r>
      <w:r>
        <w:t xml:space="preserve"> </w:t>
      </w:r>
      <w:r>
        <w:rPr>
          <w:i/>
          <w:iCs/>
        </w:rPr>
        <w:t xml:space="preserve">Marine Biology</w:t>
      </w:r>
      <w:r>
        <w:t xml:space="preserve">,</w:t>
      </w:r>
      <w:r>
        <w:t xml:space="preserve"> </w:t>
      </w:r>
      <w:r>
        <w:rPr>
          <w:i/>
          <w:iCs/>
        </w:rPr>
        <w:t xml:space="preserve">155</w:t>
      </w:r>
      <w:r>
        <w:t xml:space="preserve">, 521–530.</w:t>
      </w:r>
      <w:r>
        <w:t xml:space="preserve"> </w:t>
      </w:r>
      <w:hyperlink r:id="rId84">
        <w:r>
          <w:rPr>
            <w:rStyle w:val="Hyperlink"/>
          </w:rPr>
          <w:t xml:space="preserve">https://doi.org/10.1007/s00227-008-1051-7</w:t>
        </w:r>
      </w:hyperlink>
    </w:p>
    <w:bookmarkEnd w:id="85"/>
    <w:bookmarkStart w:id="87" w:name="ref-HuberColes1986"/>
    <w:p>
      <w:pPr>
        <w:pStyle w:val="Bibliography"/>
      </w:pPr>
      <w:r>
        <w:t xml:space="preserve">Huber, M. E., &amp; Coles, S. L. (1986). Resource utilization and competition among the five</w:t>
      </w:r>
      <w:r>
        <w:t xml:space="preserve"> </w:t>
      </w:r>
      <w:r>
        <w:t xml:space="preserve">Hawaiian</w:t>
      </w:r>
      <w:r>
        <w:t xml:space="preserve"> </w:t>
      </w:r>
      <w:r>
        <w:t xml:space="preserve">species of</w:t>
      </w:r>
      <w:r>
        <w:t xml:space="preserve"> </w:t>
      </w:r>
      <w:r>
        <w:rPr>
          <w:i/>
          <w:iCs/>
        </w:rPr>
        <w:t xml:space="preserve">trapezia</w:t>
      </w:r>
      <w:r>
        <w:t xml:space="preserve"> </w:t>
      </w:r>
      <w:r>
        <w:t xml:space="preserve">(</w:t>
      </w:r>
      <w:r>
        <w:t xml:space="preserve">Crustacea</w:t>
      </w:r>
      <w:r>
        <w:t xml:space="preserve">,</w:t>
      </w:r>
      <w:r>
        <w:t xml:space="preserve"> </w:t>
      </w:r>
      <w:r>
        <w:t xml:space="preserve">Brachyura</w:t>
      </w:r>
      <w:r>
        <w:t xml:space="preserve">).</w:t>
      </w:r>
      <w:r>
        <w:t xml:space="preserve"> </w:t>
      </w:r>
      <w:r>
        <w:rPr>
          <w:i/>
          <w:iCs/>
        </w:rPr>
        <w:t xml:space="preserve">Marine Ecology Progress Series</w:t>
      </w:r>
      <w:r>
        <w:t xml:space="preserve">,</w:t>
      </w:r>
      <w:r>
        <w:t xml:space="preserve"> </w:t>
      </w:r>
      <w:r>
        <w:rPr>
          <w:i/>
          <w:iCs/>
        </w:rPr>
        <w:t xml:space="preserve">30</w:t>
      </w:r>
      <w:r>
        <w:t xml:space="preserve">, 21–31.</w:t>
      </w:r>
      <w:r>
        <w:t xml:space="preserve"> </w:t>
      </w:r>
      <w:hyperlink r:id="rId86">
        <w:r>
          <w:rPr>
            <w:rStyle w:val="Hyperlink"/>
          </w:rPr>
          <w:t xml:space="preserve">https://doi.org/10.3354/meps030021</w:t>
        </w:r>
      </w:hyperlink>
    </w:p>
    <w:bookmarkEnd w:id="87"/>
    <w:bookmarkStart w:id="89" w:name="ref-JohnstonCunningBurgess2022"/>
    <w:p>
      <w:pPr>
        <w:pStyle w:val="Bibliography"/>
      </w:pPr>
      <w:r>
        <w:t xml:space="preserve">Johnston, E. C., Cunning, R., &amp; Burgess, S. C. (2022). A genomic and morphological comparison of shallow and mesophotic coral reef colonies in</w:t>
      </w:r>
      <w:r>
        <w:t xml:space="preserve"> </w:t>
      </w:r>
      <w:r>
        <w:t xml:space="preserve">Moorea</w:t>
      </w:r>
      <w:r>
        <w:t xml:space="preserve">,</w:t>
      </w:r>
      <w:r>
        <w:t xml:space="preserve"> </w:t>
      </w:r>
      <w:r>
        <w:t xml:space="preserve">French Polynesia</w:t>
      </w:r>
      <w:r>
        <w:t xml:space="preserve">.</w:t>
      </w:r>
      <w:r>
        <w:t xml:space="preserve"> </w:t>
      </w:r>
      <w:r>
        <w:rPr>
          <w:i/>
          <w:iCs/>
        </w:rPr>
        <w:t xml:space="preserve">Molecular Ecology</w:t>
      </w:r>
      <w:r>
        <w:t xml:space="preserve">,</w:t>
      </w:r>
      <w:r>
        <w:t xml:space="preserve"> </w:t>
      </w:r>
      <w:r>
        <w:rPr>
          <w:i/>
          <w:iCs/>
        </w:rPr>
        <w:t xml:space="preserve">31</w:t>
      </w:r>
      <w:r>
        <w:t xml:space="preserve">, 4425–4441.</w:t>
      </w:r>
      <w:r>
        <w:t xml:space="preserve"> </w:t>
      </w:r>
      <w:hyperlink r:id="rId88">
        <w:r>
          <w:rPr>
            <w:rStyle w:val="Hyperlink"/>
          </w:rPr>
          <w:t xml:space="preserve">https://doi.org/10.1111/mec.16556</w:t>
        </w:r>
      </w:hyperlink>
    </w:p>
    <w:bookmarkEnd w:id="89"/>
    <w:bookmarkStart w:id="91" w:name="ref-Kuris2008"/>
    <w:p>
      <w:pPr>
        <w:pStyle w:val="Bibliography"/>
      </w:pPr>
      <w:r>
        <w:t xml:space="preserve">Kuris, A. M., Hechinger, R. F., Shaw, J. C., Whitney, K. L., Aguirre-Macedo, L., Boch, C. A., Dobson, A. P., Dunham, E. J., Fredensborg, B. L., Huspeni, T. C., Lorda, J., Mababa, L., Mancini, F. T., Mora, A. B., Pickering, M., Talhouk, N. L., Torchin, M. E., &amp; Lafferty, K. D. (2008). Ecosystem energetic implications of parasite and free-living biomass in three estuaries.</w:t>
      </w:r>
      <w:r>
        <w:t xml:space="preserve"> </w:t>
      </w:r>
      <w:r>
        <w:rPr>
          <w:i/>
          <w:iCs/>
        </w:rPr>
        <w:t xml:space="preserve">Nature</w:t>
      </w:r>
      <w:r>
        <w:t xml:space="preserve">,</w:t>
      </w:r>
      <w:r>
        <w:t xml:space="preserve"> </w:t>
      </w:r>
      <w:r>
        <w:rPr>
          <w:i/>
          <w:iCs/>
        </w:rPr>
        <w:t xml:space="preserve">454</w:t>
      </w:r>
      <w:r>
        <w:t xml:space="preserve">, 515–518.</w:t>
      </w:r>
      <w:r>
        <w:t xml:space="preserve"> </w:t>
      </w:r>
      <w:hyperlink r:id="rId90">
        <w:r>
          <w:rPr>
            <w:rStyle w:val="Hyperlink"/>
          </w:rPr>
          <w:t xml:space="preserve">https://doi.org/10.1038/nature06970</w:t>
        </w:r>
      </w:hyperlink>
    </w:p>
    <w:bookmarkEnd w:id="91"/>
    <w:bookmarkStart w:id="93" w:name="ref-Lawton1983"/>
    <w:p>
      <w:pPr>
        <w:pStyle w:val="Bibliography"/>
      </w:pPr>
      <w:r>
        <w:t xml:space="preserve">Lawton, J. H. (1983). Plant architecture and the diversity of phytophagous insects.</w:t>
      </w:r>
      <w:r>
        <w:t xml:space="preserve"> </w:t>
      </w:r>
      <w:r>
        <w:rPr>
          <w:i/>
          <w:iCs/>
        </w:rPr>
        <w:t xml:space="preserve">Annual Review of Entomology</w:t>
      </w:r>
      <w:r>
        <w:t xml:space="preserve">,</w:t>
      </w:r>
      <w:r>
        <w:t xml:space="preserve"> </w:t>
      </w:r>
      <w:r>
        <w:rPr>
          <w:i/>
          <w:iCs/>
        </w:rPr>
        <w:t xml:space="preserve">28</w:t>
      </w:r>
      <w:r>
        <w:t xml:space="preserve">, 23–39.</w:t>
      </w:r>
      <w:r>
        <w:t xml:space="preserve"> </w:t>
      </w:r>
      <w:hyperlink r:id="rId92">
        <w:r>
          <w:rPr>
            <w:rStyle w:val="Hyperlink"/>
          </w:rPr>
          <w:t xml:space="preserve">https://doi.org/10.1146/annurev.en.28.010183.000323</w:t>
        </w:r>
      </w:hyperlink>
    </w:p>
    <w:bookmarkEnd w:id="93"/>
    <w:bookmarkStart w:id="94" w:name="ref-MacArthurWilson1967"/>
    <w:p>
      <w:pPr>
        <w:pStyle w:val="Bibliography"/>
      </w:pPr>
      <w:r>
        <w:t xml:space="preserve">MacArthur, R. H., &amp; Wilson, E. O. (1967).</w:t>
      </w:r>
      <w:r>
        <w:t xml:space="preserve"> </w:t>
      </w:r>
      <w:r>
        <w:rPr>
          <w:i/>
          <w:iCs/>
        </w:rPr>
        <w:t xml:space="preserve">The theory of island biogeography</w:t>
      </w:r>
      <w:r>
        <w:t xml:space="preserve">. Princeton University Press.</w:t>
      </w:r>
    </w:p>
    <w:bookmarkEnd w:id="94"/>
    <w:bookmarkStart w:id="96" w:name="ref-McKeon2012"/>
    <w:p>
      <w:pPr>
        <w:pStyle w:val="Bibliography"/>
      </w:pPr>
      <w:r>
        <w:t xml:space="preserve">McKeon, C. S., Stier, A. C., McIlroy, S. E., &amp; Bolker, B. M. (2012). Multiple defender effects: Synergistic coral defense by mutualist crustaceans.</w:t>
      </w:r>
      <w:r>
        <w:t xml:space="preserve"> </w:t>
      </w:r>
      <w:r>
        <w:rPr>
          <w:i/>
          <w:iCs/>
        </w:rPr>
        <w:t xml:space="preserve">Oecologia</w:t>
      </w:r>
      <w:r>
        <w:t xml:space="preserve">,</w:t>
      </w:r>
      <w:r>
        <w:t xml:space="preserve"> </w:t>
      </w:r>
      <w:r>
        <w:rPr>
          <w:i/>
          <w:iCs/>
        </w:rPr>
        <w:t xml:space="preserve">169</w:t>
      </w:r>
      <w:r>
        <w:t xml:space="preserve">, 1095–1103.</w:t>
      </w:r>
      <w:r>
        <w:t xml:space="preserve"> </w:t>
      </w:r>
      <w:hyperlink r:id="rId95">
        <w:r>
          <w:rPr>
            <w:rStyle w:val="Hyperlink"/>
          </w:rPr>
          <w:t xml:space="preserve">https://doi.org/10.1007/s00442-012-2275-2</w:t>
        </w:r>
      </w:hyperlink>
    </w:p>
    <w:bookmarkEnd w:id="96"/>
    <w:bookmarkStart w:id="98" w:name="ref-Otway2005"/>
    <w:p>
      <w:pPr>
        <w:pStyle w:val="Bibliography"/>
      </w:pPr>
      <w:r>
        <w:t xml:space="preserve">Otway, S. J., Hector, A., &amp; Lawton, J. H. (2005). Resource dilution effects on specialist insect herbivores in a grassland biodiversity experiment.</w:t>
      </w:r>
      <w:r>
        <w:t xml:space="preserve"> </w:t>
      </w:r>
      <w:r>
        <w:rPr>
          <w:i/>
          <w:iCs/>
        </w:rPr>
        <w:t xml:space="preserve">Journal of Animal Ecology</w:t>
      </w:r>
      <w:r>
        <w:t xml:space="preserve">,</w:t>
      </w:r>
      <w:r>
        <w:t xml:space="preserve"> </w:t>
      </w:r>
      <w:r>
        <w:rPr>
          <w:i/>
          <w:iCs/>
        </w:rPr>
        <w:t xml:space="preserve">74</w:t>
      </w:r>
      <w:r>
        <w:t xml:space="preserve">, 234–240.</w:t>
      </w:r>
      <w:r>
        <w:t xml:space="preserve"> </w:t>
      </w:r>
      <w:hyperlink r:id="rId97">
        <w:r>
          <w:rPr>
            <w:rStyle w:val="Hyperlink"/>
          </w:rPr>
          <w:t xml:space="preserve">https://doi.org/10.1111/j.1365-2656.2005.00913.x</w:t>
        </w:r>
      </w:hyperlink>
    </w:p>
    <w:bookmarkEnd w:id="98"/>
    <w:bookmarkStart w:id="100" w:name="ref-Schlinkert2015"/>
    <w:p>
      <w:pPr>
        <w:pStyle w:val="Bibliography"/>
      </w:pPr>
      <w:r>
        <w:t xml:space="preserve">Schlinkert, H., Westphal, C., Clough, Y., László, Z., Ludwig, M., &amp; Tscharntke, T. (2015). Plant size as determinant of species richness of herbivores, natural enemies and pollinators across 21</w:t>
      </w:r>
      <w:r>
        <w:t xml:space="preserve"> </w:t>
      </w:r>
      <w:r>
        <w:t xml:space="preserve">Brassicaceae</w:t>
      </w:r>
      <w:r>
        <w:t xml:space="preserve"> </w:t>
      </w:r>
      <w:r>
        <w:t xml:space="preserve">species.</w:t>
      </w:r>
      <w:r>
        <w:t xml:space="preserve"> </w:t>
      </w:r>
      <w:r>
        <w:rPr>
          <w:i/>
          <w:iCs/>
        </w:rPr>
        <w:t xml:space="preserve">PLoS ONE</w:t>
      </w:r>
      <w:r>
        <w:t xml:space="preserve">,</w:t>
      </w:r>
      <w:r>
        <w:t xml:space="preserve"> </w:t>
      </w:r>
      <w:r>
        <w:rPr>
          <w:i/>
          <w:iCs/>
        </w:rPr>
        <w:t xml:space="preserve">10</w:t>
      </w:r>
      <w:r>
        <w:t xml:space="preserve">, e0135928.</w:t>
      </w:r>
      <w:r>
        <w:t xml:space="preserve"> </w:t>
      </w:r>
      <w:hyperlink r:id="rId99">
        <w:r>
          <w:rPr>
            <w:rStyle w:val="Hyperlink"/>
          </w:rPr>
          <w:t xml:space="preserve">https://doi.org/10.1371/journal.pone.0135928</w:t>
        </w:r>
      </w:hyperlink>
    </w:p>
    <w:bookmarkEnd w:id="100"/>
    <w:bookmarkStart w:id="102" w:name="ref-Shima2010"/>
    <w:p>
      <w:pPr>
        <w:pStyle w:val="Bibliography"/>
      </w:pPr>
      <w:r>
        <w:t xml:space="preserve">Shima, J. S., Osenberg, C. W., &amp; Stier, A. C. (2010). The vermetid gastropod</w:t>
      </w:r>
      <w:r>
        <w:t xml:space="preserve"> </w:t>
      </w:r>
      <w:r>
        <w:rPr>
          <w:i/>
          <w:iCs/>
        </w:rPr>
        <w:t xml:space="preserve">dendropoma maximum</w:t>
      </w:r>
      <w:r>
        <w:t xml:space="preserve"> </w:t>
      </w:r>
      <w:r>
        <w:t xml:space="preserve">reduces coral growth and survival.</w:t>
      </w:r>
      <w:r>
        <w:t xml:space="preserve"> </w:t>
      </w:r>
      <w:r>
        <w:rPr>
          <w:i/>
          <w:iCs/>
        </w:rPr>
        <w:t xml:space="preserve">Biology Letters</w:t>
      </w:r>
      <w:r>
        <w:t xml:space="preserve">,</w:t>
      </w:r>
      <w:r>
        <w:t xml:space="preserve"> </w:t>
      </w:r>
      <w:r>
        <w:rPr>
          <w:i/>
          <w:iCs/>
        </w:rPr>
        <w:t xml:space="preserve">6</w:t>
      </w:r>
      <w:r>
        <w:t xml:space="preserve">, 815–818.</w:t>
      </w:r>
      <w:r>
        <w:t xml:space="preserve"> </w:t>
      </w:r>
      <w:hyperlink r:id="rId101">
        <w:r>
          <w:rPr>
            <w:rStyle w:val="Hyperlink"/>
          </w:rPr>
          <w:t xml:space="preserve">https://doi.org/10.1098/rsbl.2010.0291</w:t>
        </w:r>
      </w:hyperlink>
    </w:p>
    <w:bookmarkEnd w:id="102"/>
    <w:bookmarkStart w:id="104" w:name="ref-Speare2022"/>
    <w:p>
      <w:pPr>
        <w:pStyle w:val="Bibliography"/>
      </w:pPr>
      <w:r>
        <w:t xml:space="preserve">Speare, K. E., Adam, T. C., Winslow, E. M., Lenihan, H. S., &amp; Burkepile, D. E. (2022). Size-dependent mortality of corals during marine heatwave erodes recovery capacity of a coral reef.</w:t>
      </w:r>
      <w:r>
        <w:t xml:space="preserve"> </w:t>
      </w:r>
      <w:r>
        <w:rPr>
          <w:i/>
          <w:iCs/>
        </w:rPr>
        <w:t xml:space="preserve">Global Change Biology</w:t>
      </w:r>
      <w:r>
        <w:t xml:space="preserve">,</w:t>
      </w:r>
      <w:r>
        <w:t xml:space="preserve"> </w:t>
      </w:r>
      <w:r>
        <w:rPr>
          <w:i/>
          <w:iCs/>
        </w:rPr>
        <w:t xml:space="preserve">28</w:t>
      </w:r>
      <w:r>
        <w:t xml:space="preserve">, 1342–1358.</w:t>
      </w:r>
      <w:r>
        <w:t xml:space="preserve"> </w:t>
      </w:r>
      <w:hyperlink r:id="rId103">
        <w:r>
          <w:rPr>
            <w:rStyle w:val="Hyperlink"/>
          </w:rPr>
          <w:t xml:space="preserve">https://doi.org/10.1111/gcb.16000</w:t>
        </w:r>
      </w:hyperlink>
    </w:p>
    <w:bookmarkEnd w:id="104"/>
    <w:bookmarkStart w:id="106" w:name="ref-Stella2014"/>
    <w:p>
      <w:pPr>
        <w:pStyle w:val="Bibliography"/>
      </w:pPr>
      <w:r>
        <w:t xml:space="preserve">Stella, J. S., Munday, P. L., Walker, S. P. W., Pratchett, M. S., &amp; Jones, G. P. (2014). From cooperation to combat: Adverse effect of thermal stress in a symbiotic coral-crustacean community.</w:t>
      </w:r>
      <w:r>
        <w:t xml:space="preserve"> </w:t>
      </w:r>
      <w:r>
        <w:rPr>
          <w:i/>
          <w:iCs/>
        </w:rPr>
        <w:t xml:space="preserve">Oecologia</w:t>
      </w:r>
      <w:r>
        <w:t xml:space="preserve">,</w:t>
      </w:r>
      <w:r>
        <w:t xml:space="preserve"> </w:t>
      </w:r>
      <w:r>
        <w:rPr>
          <w:i/>
          <w:iCs/>
        </w:rPr>
        <w:t xml:space="preserve">174</w:t>
      </w:r>
      <w:r>
        <w:t xml:space="preserve">, 1187–1195.</w:t>
      </w:r>
      <w:r>
        <w:t xml:space="preserve"> </w:t>
      </w:r>
      <w:hyperlink r:id="rId105">
        <w:r>
          <w:rPr>
            <w:rStyle w:val="Hyperlink"/>
          </w:rPr>
          <w:t xml:space="preserve">https://doi.org/10.1007/s00442-013-2858-6</w:t>
        </w:r>
      </w:hyperlink>
    </w:p>
    <w:bookmarkEnd w:id="106"/>
    <w:bookmarkStart w:id="108" w:name="ref-Stier2012"/>
    <w:p>
      <w:pPr>
        <w:pStyle w:val="Bibliography"/>
      </w:pPr>
      <w:r>
        <w:t xml:space="preserve">Stier, A. C., Gil, M. A., McKeon, C. S., Lemer, S., Leray, M., Mills, S. C., &amp; Osenberg, C. W. (2012). Housekeeping mutualisms: Do more symbionts facilitate host performance?</w:t>
      </w:r>
      <w:r>
        <w:t xml:space="preserve"> </w:t>
      </w:r>
      <w:r>
        <w:rPr>
          <w:i/>
          <w:iCs/>
        </w:rPr>
        <w:t xml:space="preserve">PLoS ONE</w:t>
      </w:r>
      <w:r>
        <w:t xml:space="preserve">,</w:t>
      </w:r>
      <w:r>
        <w:t xml:space="preserve"> </w:t>
      </w:r>
      <w:r>
        <w:rPr>
          <w:i/>
          <w:iCs/>
        </w:rPr>
        <w:t xml:space="preserve">7</w:t>
      </w:r>
      <w:r>
        <w:t xml:space="preserve">, e32079.</w:t>
      </w:r>
      <w:r>
        <w:t xml:space="preserve"> </w:t>
      </w:r>
      <w:hyperlink r:id="rId107">
        <w:r>
          <w:rPr>
            <w:rStyle w:val="Hyperlink"/>
          </w:rPr>
          <w:t xml:space="preserve">https://doi.org/10.1371/journal.pone.0032079</w:t>
        </w:r>
      </w:hyperlink>
    </w:p>
    <w:bookmarkEnd w:id="108"/>
    <w:bookmarkStart w:id="110" w:name="ref-StierOsenberg2010"/>
    <w:p>
      <w:pPr>
        <w:pStyle w:val="Bibliography"/>
      </w:pPr>
      <w:r>
        <w:t xml:space="preserve">Stier, A. C., &amp; Osenberg, C. W. (2010). Propagule redirection: Habitat availability reduces colonization and increases recruitment in reef fishes.</w:t>
      </w:r>
      <w:r>
        <w:t xml:space="preserve"> </w:t>
      </w:r>
      <w:r>
        <w:rPr>
          <w:i/>
          <w:iCs/>
        </w:rPr>
        <w:t xml:space="preserve">Ecology</w:t>
      </w:r>
      <w:r>
        <w:t xml:space="preserve">,</w:t>
      </w:r>
      <w:r>
        <w:t xml:space="preserve"> </w:t>
      </w:r>
      <w:r>
        <w:rPr>
          <w:i/>
          <w:iCs/>
        </w:rPr>
        <w:t xml:space="preserve">91</w:t>
      </w:r>
      <w:r>
        <w:t xml:space="preserve">, 2826–2832.</w:t>
      </w:r>
      <w:r>
        <w:t xml:space="preserve"> </w:t>
      </w:r>
      <w:hyperlink r:id="rId109">
        <w:r>
          <w:rPr>
            <w:rStyle w:val="Hyperlink"/>
          </w:rPr>
          <w:t xml:space="preserve">https://doi.org/10.1890/09-1993.1</w:t>
        </w:r>
      </w:hyperlink>
    </w:p>
    <w:bookmarkEnd w:id="110"/>
    <w:bookmarkStart w:id="111" w:name="ref-StierInReview"/>
    <w:p>
      <w:pPr>
        <w:pStyle w:val="Bibliography"/>
      </w:pPr>
      <w:r>
        <w:t xml:space="preserve">Stier, A. C., Primo, C., Curtis, J. S., &amp; Osenberg, C. W. (in review). Habitat quantity drives community assembly and biodiversity-ecosystem function relationships in coral reef fauna.</w:t>
      </w:r>
      <w:r>
        <w:t xml:space="preserve"> </w:t>
      </w:r>
      <w:r>
        <w:rPr>
          <w:i/>
          <w:iCs/>
        </w:rPr>
        <w:t xml:space="preserve">[journal to be confirmed]</w:t>
      </w:r>
      <w:r>
        <w:t xml:space="preserve">.</w:t>
      </w:r>
    </w:p>
    <w:bookmarkEnd w:id="111"/>
    <w:bookmarkEnd w:id="112"/>
    <w:p>
      <w:r>
        <w:pict>
          <v:rect style="width:0;height:1.5pt" o:hralign="center" o:hrstd="t" o:hr="t"/>
        </w:pict>
      </w:r>
    </w:p>
    <w:bookmarkEnd w:id="113"/>
    <w:bookmarkEnd w:id="114"/>
    <w:bookmarkStart w:id="192" w:name="supplementary-materials"/>
    <w:p>
      <w:pPr>
        <w:pStyle w:val="Heading1"/>
      </w:pPr>
      <w:r>
        <w:t xml:space="preserve">SUPPLEMENTARY MATERIALS</w:t>
      </w:r>
    </w:p>
    <w:p>
      <w:pPr>
        <w:pStyle w:val="FirstParagraph"/>
      </w:pPr>
      <w:r>
        <w:rPr>
          <w:b/>
          <w:bCs/>
        </w:rPr>
        <w:t xml:space="preserve">Colony size drives sublinear scaling, compositional turnover, and biodiversity–condition feedbacks in coral-associated fauna</w:t>
      </w:r>
    </w:p>
    <w:p>
      <w:pPr>
        <w:pStyle w:val="BodyText"/>
      </w:pPr>
      <w:r>
        <w:t xml:space="preserve">Stier, A.C. et al.</w:t>
      </w:r>
    </w:p>
    <w:p>
      <w:pPr>
        <w:pStyle w:val="BodyText"/>
      </w:pPr>
      <w:r>
        <w:t xml:space="preserve">Abbreviations: CAFI, coral-associated fishes and invertebrates; BEF, biodiversity–ecosystem function; SES, standardized effect size; FDR, false discovery rate (Benjamini–Hochberg); PERMANOVA, permutational multivariate analysis of variance; PERMDISP, permutational analysis of multivariate dispersions; db-RDA, distance-based redundancy analysis; NODF, nestedness metric based on overlap and decreasing fill; OTU, operational taxonomic unit; GLM, generalized linear model; OLS, ordinary least squares; PCA, principal component analysis; AFDW, ash-free dry weight; SAR, species–area relationship.</w:t>
      </w:r>
    </w:p>
    <w:p>
      <w:r>
        <w:pict>
          <v:rect style="width:0;height:1.5pt" o:hralign="center" o:hrstd="t" o:hr="t"/>
        </w:pict>
      </w:r>
    </w:p>
    <w:bookmarkStart w:id="148" w:name="supplementary-figures"/>
    <w:p>
      <w:pPr>
        <w:pStyle w:val="Heading2"/>
      </w:pPr>
      <w:r>
        <w:t xml:space="preserve">Supplementary Figures</w:t>
      </w:r>
    </w:p>
    <w:p>
      <w:pPr>
        <w:pStyle w:val="FirstParagraph"/>
      </w:pPr>
      <w:r>
        <w:rPr>
          <w:b/>
          <w:bCs/>
        </w:rPr>
        <w:t xml:space="preserve">Figure S1.</w:t>
      </w:r>
      <w:r>
        <w:t xml:space="preserve"> </w:t>
      </w:r>
      <w:r>
        <w:t xml:space="preserve">Species accumulation curves for each reef site. Curves show rarefied species richness as a function of sampling effort (number of individuals), computed using vegan::specaccum (method =</w:t>
      </w:r>
      <w:r>
        <w:t xml:space="preserve"> </w:t>
      </w:r>
      <w:r>
        <w:t xml:space="preserve">“rarefaction”</w:t>
      </w:r>
      <w:r>
        <w:t xml:space="preserve">). All three sites approach asymptotic richness, indicating adequate sampling coverage. Hauru supports the highest total richness, followed by Maharepa and Maatea.</w:t>
      </w:r>
    </w:p>
    <w:p>
      <w:pPr>
        <w:pStyle w:val="BodyText"/>
      </w:pPr>
      <w:r>
        <w:drawing>
          <wp:inline>
            <wp:extent cx="5334000" cy="3810000"/>
            <wp:effectExtent b="0" l="0" r="0" t="0"/>
            <wp:docPr descr="" title="" id="116" name="Picture"/>
            <a:graphic>
              <a:graphicData uri="http://schemas.openxmlformats.org/drawingml/2006/picture">
                <pic:pic>
                  <pic:nvPicPr>
                    <pic:cNvPr descr="../output/figures/supplement/figS1_species_accumulation.png" id="117" name="Picture"/>
                    <pic:cNvPicPr>
                      <a:picLocks noChangeArrowheads="1" noChangeAspect="1"/>
                    </pic:cNvPicPr>
                  </pic:nvPicPr>
                  <pic:blipFill>
                    <a:blip r:embed="rId115"/>
                    <a:stretch>
                      <a:fillRect/>
                    </a:stretch>
                  </pic:blipFill>
                  <pic:spPr bwMode="auto">
                    <a:xfrm>
                      <a:off x="0" y="0"/>
                      <a:ext cx="5334000" cy="38100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S2.</w:t>
      </w:r>
      <w:r>
        <w:t xml:space="preserve"> </w:t>
      </w:r>
      <w:r>
        <w:t xml:space="preserve">PERMANOVA results are robust across five distance metrics. (A) Site and volume R² values for each metric, with significance indicated by filled versus open symbols. Site effects are significant across all five metrics; volume effects are significant for all except Gower (which treats shared absences as similarity and should be interpreted cautiously). (B) Robustness of the composition divergence trend (distance-to-centroid vs. log volume) across metrics. The site effect on composition is further validated by 500 balanced subsampling iterations across all metrics (100% of iterations significant at p &lt; 0.05).</w:t>
      </w:r>
    </w:p>
    <w:p>
      <w:pPr>
        <w:pStyle w:val="BodyText"/>
      </w:pPr>
      <w:r>
        <w:drawing>
          <wp:inline>
            <wp:extent cx="5334000" cy="3333750"/>
            <wp:effectExtent b="0" l="0" r="0" t="0"/>
            <wp:docPr descr="" title="" id="119" name="Picture"/>
            <a:graphic>
              <a:graphicData uri="http://schemas.openxmlformats.org/drawingml/2006/picture">
                <pic:pic>
                  <pic:nvPicPr>
                    <pic:cNvPr descr="../output/figures/supplement/figS2_permanova_sensitivity.png" id="120" name="Picture"/>
                    <pic:cNvPicPr>
                      <a:picLocks noChangeArrowheads="1" noChangeAspect="1"/>
                    </pic:cNvPicPr>
                  </pic:nvPicPr>
                  <pic:blipFill>
                    <a:blip r:embed="rId118"/>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S3.</w:t>
      </w:r>
      <w:r>
        <w:t xml:space="preserve"> </w:t>
      </w:r>
      <w:r>
        <w:t xml:space="preserve">Composition divergence along the coral size gradient. (A) Distance-to-centroid by size class using raw Bray–Curtis dissimilarities – the apparent divergence trend is driven by larger corals having more individuals. (B) After iterated rarefaction (100 draws at equal sampling depth, averaged), the divergence trend disappears (PERMDISP: p = 0.61), confirming it is an abundance artifact.</w:t>
      </w:r>
    </w:p>
    <w:p>
      <w:pPr>
        <w:pStyle w:val="BodyText"/>
      </w:pPr>
      <w:r>
        <w:drawing>
          <wp:inline>
            <wp:extent cx="5334000" cy="2074333"/>
            <wp:effectExtent b="0" l="0" r="0" t="0"/>
            <wp:docPr descr="" title="" id="122" name="Picture"/>
            <a:graphic>
              <a:graphicData uri="http://schemas.openxmlformats.org/drawingml/2006/picture">
                <pic:pic>
                  <pic:nvPicPr>
                    <pic:cNvPr descr="../output/figures/supplement/figS3_composition_divergence.png" id="123" name="Picture"/>
                    <pic:cNvPicPr>
                      <a:picLocks noChangeArrowheads="1" noChangeAspect="1"/>
                    </pic:cNvPicPr>
                  </pic:nvPicPr>
                  <pic:blipFill>
                    <a:blip r:embed="rId121"/>
                    <a:stretch>
                      <a:fillRect/>
                    </a:stretch>
                  </pic:blipFill>
                  <pic:spPr bwMode="auto">
                    <a:xfrm>
                      <a:off x="0" y="0"/>
                      <a:ext cx="5334000" cy="2074333"/>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S4.</w:t>
      </w:r>
      <w:r>
        <w:t xml:space="preserve"> </w:t>
      </w:r>
      <w:r>
        <w:t xml:space="preserve">Species-level scaling forest plot for all 21 prevalent species (≥30 individuals and ≥15% prevalence). Points show the negative binomial GLM scaling exponent (β) with 95% confidence intervals (profile likelihood CIs from GLM; bootstrap BCa CIs reported in Table S1). Species are colored by scaling classification: blue = Redirection (β &lt; 1, bootstrap CI excludes 1.0), gray = Field of Dreams (bootstrap CI spans 1.0), vermillion = super-linear (β &gt; 1, CI &gt; 1.0). Eleven of 21 species show Redirection; none shows super-linear scaling. Dashed vertical line at β = 1 indicates proportional scaling.</w:t>
      </w:r>
    </w:p>
    <w:p>
      <w:pPr>
        <w:pStyle w:val="BodyText"/>
      </w:pPr>
      <w:r>
        <w:drawing>
          <wp:inline>
            <wp:extent cx="5334000" cy="4267200"/>
            <wp:effectExtent b="0" l="0" r="0" t="0"/>
            <wp:docPr descr="" title="" id="125" name="Picture"/>
            <a:graphic>
              <a:graphicData uri="http://schemas.openxmlformats.org/drawingml/2006/picture">
                <pic:pic>
                  <pic:nvPicPr>
                    <pic:cNvPr descr="../output/figures/supplement/figS4_species_scaling.png" id="126" name="Picture"/>
                    <pic:cNvPicPr>
                      <a:picLocks noChangeArrowheads="1" noChangeAspect="1"/>
                    </pic:cNvPicPr>
                  </pic:nvPicPr>
                  <pic:blipFill>
                    <a:blip r:embed="rId124"/>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S5.</w:t>
      </w:r>
      <w:r>
        <w:t xml:space="preserve"> </w:t>
      </w:r>
      <w:r>
        <w:t xml:space="preserve">Neighborhood effects on CAFI communities. Three response variables (rows: total CAFI abundance, species richness, Shannon diversity) plotted against two neighborhood predictors (columns: number of neighbors within 5 m, mean distance to neighbors). (A) Abundance vs. neighbor count; (B) abundance vs. neighbor distance; (C) richness vs. neighbor count; (D) richness vs. neighbor distance; (E) Shannon diversity vs. neighbor count; (F) Shannon diversity vs. neighbor distance. Trend lines shown only for significant relationships (p &lt; 0.05): mean neighbor distance negatively predicts richness (D; β = −0.005, p = 0.001) and Shannon diversity (F; β = −0.007, p = 0.001), but not abundance (B; p = 0.78). Neighbor count does not predict any response (A, C, E; all p &gt; 0.37). n = 61 corals with 5-m neighborhood surveys across three reef sites. Points colored by site (purple = Hauru, slate = Maatea, green = Maharepa). Power analysis indicates 65% power for medium effects (R² = 0.10) at α = 0.05.</w:t>
      </w:r>
    </w:p>
    <w:p>
      <w:pPr>
        <w:pStyle w:val="BodyText"/>
      </w:pPr>
      <w:r>
        <w:drawing>
          <wp:inline>
            <wp:extent cx="5334000" cy="6275919"/>
            <wp:effectExtent b="0" l="0" r="0" t="0"/>
            <wp:docPr descr="" title="" id="128" name="Picture"/>
            <a:graphic>
              <a:graphicData uri="http://schemas.openxmlformats.org/drawingml/2006/picture">
                <pic:pic>
                  <pic:nvPicPr>
                    <pic:cNvPr descr="../output/figures/supplement/figS5_neighborhood.png" id="129" name="Picture"/>
                    <pic:cNvPicPr>
                      <a:picLocks noChangeArrowheads="1" noChangeAspect="1"/>
                    </pic:cNvPicPr>
                  </pic:nvPicPr>
                  <pic:blipFill>
                    <a:blip r:embed="rId127"/>
                    <a:stretch>
                      <a:fillRect/>
                    </a:stretch>
                  </pic:blipFill>
                  <pic:spPr bwMode="auto">
                    <a:xfrm>
                      <a:off x="0" y="0"/>
                      <a:ext cx="5334000" cy="627591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S6.</w:t>
      </w:r>
      <w:r>
        <w:t xml:space="preserve"> </w:t>
      </w:r>
      <w:r>
        <w:t xml:space="preserve">Taxonomy sensitivity analysis. Forest plot showing seven key metrics (abundance β, richness z, PERMANOVA R² for site and volume, Shannon β, rarefied richness–condition p, network modularity Q) across five taxonomic resolution scenarios: baseline (243 OTUs), species-only (154 OTUs), merge-up, lump-down (genus-level), and rare-excluded. All scaling and composition results are robust to taxonomic resolution. Abundance β ranges from 0.515 to 0.527 across scenarios; richness z from 0.310 to 0.343; site PERMANOVA R² from 0.049 to 0.063; volume PERMANOVA R² from 0.078 to 0.098.</w:t>
      </w:r>
    </w:p>
    <w:p>
      <w:pPr>
        <w:pStyle w:val="BodyText"/>
      </w:pPr>
      <w:r>
        <w:drawing>
          <wp:inline>
            <wp:extent cx="5334000" cy="3733800"/>
            <wp:effectExtent b="0" l="0" r="0" t="0"/>
            <wp:docPr descr="" title="" id="131" name="Picture"/>
            <a:graphic>
              <a:graphicData uri="http://schemas.openxmlformats.org/drawingml/2006/picture">
                <pic:pic>
                  <pic:nvPicPr>
                    <pic:cNvPr descr="../output/figures/supplement/figS6_taxonomy_sensitivity.png" id="132" name="Picture"/>
                    <pic:cNvPicPr>
                      <a:picLocks noChangeArrowheads="1" noChangeAspect="1"/>
                    </pic:cNvPicPr>
                  </pic:nvPicPr>
                  <pic:blipFill>
                    <a:blip r:embed="rId130"/>
                    <a:stretch>
                      <a:fillRect/>
                    </a:stretch>
                  </pic:blipFill>
                  <pic:spPr bwMode="auto">
                    <a:xfrm>
                      <a:off x="0" y="0"/>
                      <a:ext cx="5334000" cy="373380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S7.</w:t>
      </w:r>
      <w:r>
        <w:t xml:space="preserve"> </w:t>
      </w:r>
      <w:r>
        <w:t xml:space="preserve">Taxonomic group scaling and composition. (A) Forest plot of scaling exponents for six functional groups:</w:t>
      </w:r>
      <w:r>
        <w:t xml:space="preserve"> </w:t>
      </w:r>
      <w:r>
        <w:rPr>
          <w:i/>
          <w:iCs/>
        </w:rPr>
        <w:t xml:space="preserve">Trapezia</w:t>
      </w:r>
      <w:r>
        <w:t xml:space="preserve"> </w:t>
      </w:r>
      <w:r>
        <w:t xml:space="preserve">crabs (β = 0.43), shrimps (β = 0.50), other crabs (β = 0.47), fish (β = 0.74), gastropods (β = 0.94, not significant), and other invertebrates (β = 0.50). Five of six groups show significant sublinear scaling; gastropods are the sole exception. (B) Group composition by site showing proportional representation.</w:t>
      </w:r>
    </w:p>
    <w:p>
      <w:pPr>
        <w:pStyle w:val="BodyText"/>
      </w:pPr>
      <w:r>
        <w:drawing>
          <wp:inline>
            <wp:extent cx="5334000" cy="4889813"/>
            <wp:effectExtent b="0" l="0" r="0" t="0"/>
            <wp:docPr descr="" title="" id="134" name="Picture"/>
            <a:graphic>
              <a:graphicData uri="http://schemas.openxmlformats.org/drawingml/2006/picture">
                <pic:pic>
                  <pic:nvPicPr>
                    <pic:cNvPr descr="../output/figures/supplement/figS7_functional_groups.png" id="135" name="Picture"/>
                    <pic:cNvPicPr>
                      <a:picLocks noChangeArrowheads="1" noChangeAspect="1"/>
                    </pic:cNvPicPr>
                  </pic:nvPicPr>
                  <pic:blipFill>
                    <a:blip r:embed="rId133"/>
                    <a:stretch>
                      <a:fillRect/>
                    </a:stretch>
                  </pic:blipFill>
                  <pic:spPr bwMode="auto">
                    <a:xfrm>
                      <a:off x="0" y="0"/>
                      <a:ext cx="5334000" cy="4889813"/>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S8.</w:t>
      </w:r>
      <w:r>
        <w:t xml:space="preserve"> </w:t>
      </w:r>
      <w:r>
        <w:t xml:space="preserve">Rarefaction depth sensitivity for the richness → condition relationship. The relationship between rarefied richness and condition was tested at rarefaction depths of n = 10, 15, 20, 25, and 30 individuals. The relationship is non-significant at all depths (all p &gt; 0.10), confirming that the null result is not an artifact of the chosen rarefaction depth (n = 20).</w:t>
      </w:r>
    </w:p>
    <w:p>
      <w:pPr>
        <w:pStyle w:val="BodyText"/>
      </w:pPr>
      <w:r>
        <w:drawing>
          <wp:inline>
            <wp:extent cx="5334000" cy="3741761"/>
            <wp:effectExtent b="0" l="0" r="0" t="0"/>
            <wp:docPr descr="" title="" id="137" name="Picture"/>
            <a:graphic>
              <a:graphicData uri="http://schemas.openxmlformats.org/drawingml/2006/picture">
                <pic:pic>
                  <pic:nvPicPr>
                    <pic:cNvPr descr="../output/figures/supplement/figS8_rarefaction_sensitivity.png" id="138" name="Picture"/>
                    <pic:cNvPicPr>
                      <a:picLocks noChangeArrowheads="1" noChangeAspect="1"/>
                    </pic:cNvPicPr>
                  </pic:nvPicPr>
                  <pic:blipFill>
                    <a:blip r:embed="rId136"/>
                    <a:stretch>
                      <a:fillRect/>
                    </a:stretch>
                  </pic:blipFill>
                  <pic:spPr bwMode="auto">
                    <a:xfrm>
                      <a:off x="0" y="0"/>
                      <a:ext cx="5334000" cy="3741761"/>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S9.</w:t>
      </w:r>
      <w:r>
        <w:t xml:space="preserve"> </w:t>
      </w:r>
      <w:r>
        <w:t xml:space="preserve">Null-model co-occurrence analysis of coral-associated fauna. (A) Pairwise co-occurrence heatmap showing standardized effect sizes (SES) from a volume-weighted null model (10,000 iterations). Red = positive association (co-occurrence more frequent than expected); blue = avoidance (less frequent than expected). Species are ordered by taxonomic group. No pairs are significant after FDR correction (0 of 528 at FDR &lt; 0.05), indicating that after accounting for coral volume and site, pairwise associations are consistent with independent colonization. The strongest signals are</w:t>
      </w:r>
      <w:r>
        <w:t xml:space="preserve"> </w:t>
      </w:r>
      <w:r>
        <w:rPr>
          <w:i/>
          <w:iCs/>
        </w:rPr>
        <w:t xml:space="preserve">Harpiliopsis beaupresii</w:t>
      </w:r>
      <w:r>
        <w:t xml:space="preserve">–</w:t>
      </w:r>
      <w:r>
        <w:rPr>
          <w:i/>
          <w:iCs/>
        </w:rPr>
        <w:t xml:space="preserve">Paragobiodon modestus</w:t>
      </w:r>
      <w:r>
        <w:t xml:space="preserve"> </w:t>
      </w:r>
      <w:r>
        <w:t xml:space="preserve">(SES = −3.43, p_FDR = 0.11) and</w:t>
      </w:r>
      <w:r>
        <w:t xml:space="preserve"> </w:t>
      </w:r>
      <w:r>
        <w:rPr>
          <w:i/>
          <w:iCs/>
        </w:rPr>
        <w:t xml:space="preserve">H. beaupresii</w:t>
      </w:r>
      <w:r>
        <w:t xml:space="preserve">–</w:t>
      </w:r>
      <w:r>
        <w:rPr>
          <w:i/>
          <w:iCs/>
        </w:rPr>
        <w:t xml:space="preserve">H. spinigera</w:t>
      </w:r>
      <w:r>
        <w:t xml:space="preserve"> </w:t>
      </w:r>
      <w:r>
        <w:t xml:space="preserve">(SES = −3.42, p_FDR = 0.21). (B) Intraspecific density patterns for 8 focal species (of 15 tested). Red points show observed frequency of corals hosting 1, 2, 3, 4, or 5+ individuals; gray bars show null expectation (95% CI) from volume-proportional random allocation. Six species show significant mating-pair aggregation (FDR &lt; 0.05). (C) Size-dependent co-occurrence. SES values for key species pairs across three coral size classes (terciles). Dashed line = null expectation (SES = 0); dotted lines = ±1.96 significance reference.</w:t>
      </w:r>
    </w:p>
    <w:p>
      <w:pPr>
        <w:pStyle w:val="BodyText"/>
      </w:pPr>
      <w:r>
        <w:drawing>
          <wp:inline>
            <wp:extent cx="5334000" cy="4622649"/>
            <wp:effectExtent b="0" l="0" r="0" t="0"/>
            <wp:docPr descr="" title="" id="140" name="Picture"/>
            <a:graphic>
              <a:graphicData uri="http://schemas.openxmlformats.org/drawingml/2006/picture">
                <pic:pic>
                  <pic:nvPicPr>
                    <pic:cNvPr descr="../output/figures/supplement/figS9_cooccurrence.png" id="141" name="Picture"/>
                    <pic:cNvPicPr>
                      <a:picLocks noChangeArrowheads="1" noChangeAspect="1"/>
                    </pic:cNvPicPr>
                  </pic:nvPicPr>
                  <pic:blipFill>
                    <a:blip r:embed="rId139"/>
                    <a:stretch>
                      <a:fillRect/>
                    </a:stretch>
                  </pic:blipFill>
                  <pic:spPr bwMode="auto">
                    <a:xfrm>
                      <a:off x="0" y="0"/>
                      <a:ext cx="5334000" cy="462264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S10.</w:t>
      </w:r>
      <w:r>
        <w:t xml:space="preserve"> </w:t>
      </w:r>
      <w:r>
        <w:t xml:space="preserve">BEF variance partitioning and path model diagnostics. (A) Stacked bar chart showing decomposition of variance explained by richness and abundance (beyond volume + site): 29.1% unique to richness, &lt;1% unique to abundance, 70.8% shared (confounded). (B) Partial regression of condition residuals on richness residuals (both after removing abundance + volume + site effects). (C) Standardized path model coefficients from piecewiseSEM (volume → richness → condition, volume → abundance → condition). The richness → condition path (β = 0.55) is substantially larger in magnitude than the abundance → condition path (β = 0.02), though neither reached significance individually (see main text).</w:t>
      </w:r>
    </w:p>
    <w:p>
      <w:pPr>
        <w:pStyle w:val="BodyText"/>
      </w:pPr>
      <w:r>
        <w:drawing>
          <wp:inline>
            <wp:extent cx="5334000" cy="5101318"/>
            <wp:effectExtent b="0" l="0" r="0" t="0"/>
            <wp:docPr descr="" title="" id="143" name="Picture"/>
            <a:graphic>
              <a:graphicData uri="http://schemas.openxmlformats.org/drawingml/2006/picture">
                <pic:pic>
                  <pic:nvPicPr>
                    <pic:cNvPr descr="../output/figures/supplement/figS10_bef_variance_partitioning.png" id="144" name="Picture"/>
                    <pic:cNvPicPr>
                      <a:picLocks noChangeArrowheads="1" noChangeAspect="1"/>
                    </pic:cNvPicPr>
                  </pic:nvPicPr>
                  <pic:blipFill>
                    <a:blip r:embed="rId142"/>
                    <a:stretch>
                      <a:fillRect/>
                    </a:stretch>
                  </pic:blipFill>
                  <pic:spPr bwMode="auto">
                    <a:xfrm>
                      <a:off x="0" y="0"/>
                      <a:ext cx="5334000" cy="5101318"/>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S11.</w:t>
      </w:r>
      <w:r>
        <w:t xml:space="preserve"> </w:t>
      </w:r>
      <w:r>
        <w:t xml:space="preserve">Additional CAFI–condition diagnostics. (A) A priori BEF forest plot: species richness and total CAFI abundance tested as pre-specified predictors; richness is significant (p = 0.018), abundance is marginally significant (p = 0.048). (B) Rarefied richness (expected species at n = 20) versus coral condition – no significant relationship (p = 0.50), but this test is ambiguous (see main text). (C) Exploratory functional group forest plot (BH-FDR, k = 4): Shannon diversity,</w:t>
      </w:r>
      <w:r>
        <w:t xml:space="preserve"> </w:t>
      </w:r>
      <w:r>
        <w:rPr>
          <w:i/>
          <w:iCs/>
        </w:rPr>
        <w:t xml:space="preserve">Trapezia</w:t>
      </w:r>
      <w:r>
        <w:t xml:space="preserve">, resident fish, and</w:t>
      </w:r>
      <w:r>
        <w:t xml:space="preserve"> </w:t>
      </w:r>
      <w:r>
        <w:rPr>
          <w:i/>
          <w:iCs/>
        </w:rPr>
        <w:t xml:space="preserve">Galeropsis</w:t>
      </w:r>
      <w:r>
        <w:t xml:space="preserve"> </w:t>
      </w:r>
      <w:r>
        <w:t xml:space="preserve">effects on condition; all non-significant. (D–E) Individual species scatterplots for</w:t>
      </w:r>
      <w:r>
        <w:t xml:space="preserve"> </w:t>
      </w:r>
      <w:r>
        <w:rPr>
          <w:i/>
          <w:iCs/>
        </w:rPr>
        <w:t xml:space="preserve">Trapezia</w:t>
      </w:r>
      <w:r>
        <w:t xml:space="preserve"> </w:t>
      </w:r>
      <w:r>
        <w:t xml:space="preserve">spp. and</w:t>
      </w:r>
      <w:r>
        <w:t xml:space="preserve"> </w:t>
      </w:r>
      <w:r>
        <w:rPr>
          <w:i/>
          <w:iCs/>
        </w:rPr>
        <w:t xml:space="preserve">Galeropsis monodonta</w:t>
      </w:r>
      <w:r>
        <w:t xml:space="preserve"> </w:t>
      </w:r>
      <w:r>
        <w:t xml:space="preserve">versus condition, showing no significant relationships. (F) Full bidirectional analysis across all CAFI predictors (both CAFI → condition and condition → CAFI directions).</w:t>
      </w:r>
    </w:p>
    <w:p>
      <w:pPr>
        <w:pStyle w:val="BodyText"/>
      </w:pPr>
      <w:r>
        <w:drawing>
          <wp:inline>
            <wp:extent cx="5334000" cy="6956879"/>
            <wp:effectExtent b="0" l="0" r="0" t="0"/>
            <wp:docPr descr="" title="" id="146" name="Picture"/>
            <a:graphic>
              <a:graphicData uri="http://schemas.openxmlformats.org/drawingml/2006/picture">
                <pic:pic>
                  <pic:nvPicPr>
                    <pic:cNvPr descr="../output/figures/supplement/figS11_condition_details.png" id="147" name="Picture"/>
                    <pic:cNvPicPr>
                      <a:picLocks noChangeArrowheads="1" noChangeAspect="1"/>
                    </pic:cNvPicPr>
                  </pic:nvPicPr>
                  <pic:blipFill>
                    <a:blip r:embed="rId145"/>
                    <a:stretch>
                      <a:fillRect/>
                    </a:stretch>
                  </pic:blipFill>
                  <pic:spPr bwMode="auto">
                    <a:xfrm>
                      <a:off x="0" y="0"/>
                      <a:ext cx="5334000" cy="695687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
          <w:bCs/>
        </w:rPr>
        <w:t xml:space="preserve">Figure S12.</w:t>
      </w:r>
      <w:r>
        <w:t xml:space="preserve"> </w:t>
      </w:r>
      <w:r>
        <w:t xml:space="preserve">Species occurrence probability as a function of coral size. Logistic GLM curves for 24 prevalent species (≥15% prevalence) showing probability of occurrence versus log(volume), with site included as a covariate. Fourteen species show significant size-dependent occurrence after FDR correction (p &lt; 0.05), with most showing increasing probability with coral size. Shaded bands show 95% confidence intervals.</w:t>
      </w:r>
    </w:p>
    <w:p>
      <w:pPr>
        <w:pStyle w:val="BodyText"/>
      </w:pPr>
    </w:p>
    <w:p>
      <w:r>
        <w:pict>
          <v:rect style="width:0;height:1.5pt" o:hralign="center" o:hrstd="t" o:hr="t"/>
        </w:pict>
      </w:r>
    </w:p>
    <w:p>
      <w:pPr>
        <w:pStyle w:val="FirstParagraph"/>
      </w:pPr>
      <w:r>
        <w:rPr>
          <w:b/>
          <w:bCs/>
        </w:rPr>
        <w:t xml:space="preserve">Figure S13.</w:t>
      </w:r>
      <w:r>
        <w:t xml:space="preserve"> </w:t>
      </w:r>
      <w:r>
        <w:t xml:space="preserve">Species-level condition trait heatmap. (A) Standardized regression coefficients (β) from linear models: trait ~ sqrt(species count) + log(volume) + site, for 19 prevalent CAFI species (present on ≥5 corals) across five condition measures (condition PC1, protein, carbohydrate, zooxanthellae density, AFDW; all position-corrected). Bold values with asterisks indicate raw p &lt; 0.05. Species are organized by taxonomic group and ordered by condition PC1 β within each group. (B) FDR-adjusted p-values (Benjamini–Hochberg across all 95 tests; gray tiles: FDR-adjusted p ≥ 0.10; significance threshold: FDR &lt; 0.05). No individual species × trait test survives FDR correction, consistent with a complementarity (BEF) mechanism in which condition benefits arise from aggregate diversity rather than individual species identity.</w:t>
      </w:r>
    </w:p>
    <w:p>
      <w:pPr>
        <w:pStyle w:val="BodyText"/>
      </w:pPr>
    </w:p>
    <w:p>
      <w:r>
        <w:pict>
          <v:rect style="width:0;height:1.5pt" o:hralign="center" o:hrstd="t" o:hr="t"/>
        </w:pict>
      </w:r>
    </w:p>
    <w:p>
      <w:pPr>
        <w:pStyle w:val="FirstParagraph"/>
      </w:pPr>
      <w:r>
        <w:rPr>
          <w:b/>
          <w:bCs/>
        </w:rPr>
        <w:t xml:space="preserve">Figure S14.</w:t>
      </w:r>
      <w:r>
        <w:t xml:space="preserve"> </w:t>
      </w:r>
      <w:r>
        <w:t xml:space="preserve">Species-condition biplots for the nine strongest species × trait associations (raw p &lt; 0.10 or |β| &gt; 0.40). Each panel shows the position-corrected trait value versus species abundance (sqrt-scaled x-axis) with site-colored points and linear model fit (model: trait ~ sqrt(count) + log(volume) + site). Standardized β and raw p-value are annotated. (A)</w:t>
      </w:r>
      <w:r>
        <w:t xml:space="preserve"> </w:t>
      </w:r>
      <w:r>
        <w:rPr>
          <w:i/>
          <w:iCs/>
        </w:rPr>
        <w:t xml:space="preserve">Breviturma pica</w:t>
      </w:r>
      <w:r>
        <w:t xml:space="preserve"> </w:t>
      </w:r>
      <w:r>
        <w:t xml:space="preserve">× protein (β = +0.40, p = 0.030). (B)</w:t>
      </w:r>
      <w:r>
        <w:t xml:space="preserve"> </w:t>
      </w:r>
      <w:r>
        <w:rPr>
          <w:i/>
          <w:iCs/>
        </w:rPr>
        <w:t xml:space="preserve">Breviturma pica</w:t>
      </w:r>
      <w:r>
        <w:t xml:space="preserve"> </w:t>
      </w:r>
      <w:r>
        <w:t xml:space="preserve">× carbohydrate (β = +0.38, p = 0.037). (C)</w:t>
      </w:r>
      <w:r>
        <w:t xml:space="preserve"> </w:t>
      </w:r>
      <w:r>
        <w:rPr>
          <w:i/>
          <w:iCs/>
        </w:rPr>
        <w:t xml:space="preserve">Paracirrhites arcatus</w:t>
      </w:r>
      <w:r>
        <w:t xml:space="preserve"> </w:t>
      </w:r>
      <w:r>
        <w:t xml:space="preserve">× AFDW (β = +0.49, p = 0.043). (D)</w:t>
      </w:r>
      <w:r>
        <w:t xml:space="preserve"> </w:t>
      </w:r>
      <w:r>
        <w:rPr>
          <w:i/>
          <w:iCs/>
        </w:rPr>
        <w:t xml:space="preserve">Periclimenes</w:t>
      </w:r>
      <w:r>
        <w:t xml:space="preserve"> </w:t>
      </w:r>
      <w:r>
        <w:t xml:space="preserve">sp. × zooxanthellae density (β = +0.36, p = 0.043). (E)</w:t>
      </w:r>
      <w:r>
        <w:t xml:space="preserve"> </w:t>
      </w:r>
      <w:r>
        <w:rPr>
          <w:i/>
          <w:iCs/>
        </w:rPr>
        <w:t xml:space="preserve">Periclimenes</w:t>
      </w:r>
      <w:r>
        <w:t xml:space="preserve"> </w:t>
      </w:r>
      <w:r>
        <w:t xml:space="preserve">sp. × condition PC1 (β = +0.59, p = 0.051). (F)</w:t>
      </w:r>
      <w:r>
        <w:t xml:space="preserve"> </w:t>
      </w:r>
      <w:r>
        <w:rPr>
          <w:i/>
          <w:iCs/>
        </w:rPr>
        <w:t xml:space="preserve">Harpiliopsis spinigera</w:t>
      </w:r>
      <w:r>
        <w:t xml:space="preserve"> </w:t>
      </w:r>
      <w:r>
        <w:t xml:space="preserve">× carbohydrate (β = −0.28, p = 0.054). (G)</w:t>
      </w:r>
      <w:r>
        <w:t xml:space="preserve"> </w:t>
      </w:r>
      <w:r>
        <w:rPr>
          <w:i/>
          <w:iCs/>
        </w:rPr>
        <w:t xml:space="preserve">Breviturma pica</w:t>
      </w:r>
      <w:r>
        <w:t xml:space="preserve"> </w:t>
      </w:r>
      <w:r>
        <w:t xml:space="preserve">× condition PC1 (β = +0.55, p = 0.058). (H)</w:t>
      </w:r>
      <w:r>
        <w:t xml:space="preserve"> </w:t>
      </w:r>
      <w:r>
        <w:rPr>
          <w:i/>
          <w:iCs/>
        </w:rPr>
        <w:t xml:space="preserve">Alpheus lottini</w:t>
      </w:r>
      <w:r>
        <w:t xml:space="preserve"> </w:t>
      </w:r>
      <w:r>
        <w:t xml:space="preserve">× zooxanthellae density (β = +0.32, p = 0.060). (I)</w:t>
      </w:r>
      <w:r>
        <w:t xml:space="preserve"> </w:t>
      </w:r>
      <w:r>
        <w:rPr>
          <w:i/>
          <w:iCs/>
        </w:rPr>
        <w:t xml:space="preserve">Periclimenes</w:t>
      </w:r>
      <w:r>
        <w:t xml:space="preserve"> </w:t>
      </w:r>
      <w:r>
        <w:t xml:space="preserve">sp. × AFDW (β = +0.36, p = 0.062). None survives FDR correction; effect directions are consistent with mutualism hypotheses (positive for guard crabs and shrimps, variable for mobile species).</w:t>
      </w:r>
    </w:p>
    <w:p>
      <w:pPr>
        <w:pStyle w:val="BodyText"/>
      </w:pPr>
    </w:p>
    <w:p>
      <w:r>
        <w:pict>
          <v:rect style="width:0;height:1.5pt" o:hralign="center" o:hrstd="t" o:hr="t"/>
        </w:pict>
      </w:r>
    </w:p>
    <w:bookmarkEnd w:id="148"/>
    <w:bookmarkStart w:id="149" w:name="supplementary-tables"/>
    <w:p>
      <w:pPr>
        <w:pStyle w:val="Heading2"/>
      </w:pPr>
      <w:r>
        <w:t xml:space="preserve">Supplementary Tables</w:t>
      </w:r>
    </w:p>
    <w:p>
      <w:pPr>
        <w:pStyle w:val="FirstParagraph"/>
      </w:pPr>
      <w:r>
        <w:rPr>
          <w:b/>
          <w:bCs/>
        </w:rPr>
        <w:t xml:space="preserve">Table S1.</w:t>
      </w:r>
      <w:r>
        <w:t xml:space="preserve"> </w:t>
      </w:r>
      <w:r>
        <w:t xml:space="preserve">Scaling analysis results for all species, taxonomic groups, and community-level metrics. For each response, the table reports the number of corals with volume data, the number with non-zero counts, the negative binomial (or Poisson) scaling exponent β, standard error, profile likelihood and bootstrap 95% CIs, the Wald z-test and bootstrap p-value against β = 1, deviance-explained R², the FDR-corrected p-value within category, and the scaling interpretation (Redirection, Field of Dreams, or Super-linear). n = 112 corals with volume data (of 114 surveyed); bootstrap = 1,000 site-stratified iterations.</w:t>
      </w:r>
    </w:p>
    <w:p>
      <w:pPr>
        <w:pStyle w:val="BodyText"/>
      </w:pPr>
      <w:r>
        <w:rPr>
          <w:i/>
          <w:iCs/>
        </w:rPr>
        <w:t xml:space="preserve">Data:</w:t>
      </w:r>
      <w:r>
        <w:rPr>
          <w:i/>
          <w:iCs/>
        </w:rPr>
        <w:t xml:space="preserve"> </w:t>
      </w:r>
      <w:r>
        <w:rPr>
          <w:rStyle w:val="VerbatimChar"/>
          <w:i/>
          <w:iCs/>
        </w:rPr>
        <w:t xml:space="preserve">output/tables/scaling_results_all.csv</w:t>
      </w:r>
      <w:r>
        <w:rPr>
          <w:i/>
          <w:iCs/>
        </w:rPr>
        <w:t xml:space="preserve">,</w:t>
      </w:r>
      <w:r>
        <w:rPr>
          <w:i/>
          <w:iCs/>
        </w:rPr>
        <w:t xml:space="preserve"> </w:t>
      </w:r>
      <w:r>
        <w:rPr>
          <w:rStyle w:val="VerbatimChar"/>
          <w:i/>
          <w:iCs/>
        </w:rPr>
        <w:t xml:space="preserve">scaling_community_level.csv</w:t>
      </w:r>
      <w:r>
        <w:rPr>
          <w:i/>
          <w:iCs/>
        </w:rPr>
        <w:t xml:space="preserve">,</w:t>
      </w:r>
      <w:r>
        <w:rPr>
          <w:i/>
          <w:iCs/>
        </w:rPr>
        <w:t xml:space="preserve"> </w:t>
      </w:r>
      <w:r>
        <w:rPr>
          <w:rStyle w:val="VerbatimChar"/>
          <w:i/>
          <w:iCs/>
        </w:rPr>
        <w:t xml:space="preserve">scaling_meta_analysis.csv</w:t>
      </w:r>
    </w:p>
    <w:p>
      <w:pPr>
        <w:pStyle w:val="BodyText"/>
      </w:pPr>
      <w:r>
        <w:rPr>
          <w:b/>
          <w:bCs/>
        </w:rPr>
        <w:t xml:space="preserve">Table S2.</w:t>
      </w:r>
      <w:r>
        <w:t xml:space="preserve"> </w:t>
      </w:r>
      <w:r>
        <w:t xml:space="preserve">CAFI–condition model results. For each of seven CAFI predictors (species richness, total CAFI abundance, Shannon diversity,</w:t>
      </w:r>
      <w:r>
        <w:t xml:space="preserve"> </w:t>
      </w:r>
      <w:r>
        <w:rPr>
          <w:i/>
          <w:iCs/>
        </w:rPr>
        <w:t xml:space="preserve">Trapezia</w:t>
      </w:r>
      <w:r>
        <w:t xml:space="preserve"> </w:t>
      </w:r>
      <w:r>
        <w:t xml:space="preserve">abundance, resident fish abundance,</w:t>
      </w:r>
      <w:r>
        <w:t xml:space="preserve"> </w:t>
      </w:r>
      <w:r>
        <w:rPr>
          <w:i/>
          <w:iCs/>
        </w:rPr>
        <w:t xml:space="preserve">Galeropsis monodonta</w:t>
      </w:r>
      <w:r>
        <w:t xml:space="preserve"> </w:t>
      </w:r>
      <w:r>
        <w:t xml:space="preserve">abundance, and community composition PC1), the table reports the standardized regression coefficient (β), OLS standard error (primary), t-statistic, uncorrected p-value, FDR-corrected p-value (Hochberg step-up for the two a priori predictors; BH-FDR for the four exploratory predictors; uncorrected for the single PC1 test), 95% CI, adjusted R², Breusch–Pagan p-value (homoscedasticity diagnostic), and HC3-robust p-value (sensitivity check). Model: condition_PC1 ~ CAFI_predictor + log(volume) + site. Count predictors are square-root-transformed. n = 84 corals with complete physiology data.</w:t>
      </w:r>
    </w:p>
    <w:p>
      <w:pPr>
        <w:pStyle w:val="BodyText"/>
      </w:pPr>
      <w:r>
        <w:rPr>
          <w:i/>
          <w:iCs/>
        </w:rPr>
        <w:t xml:space="preserve">Data:</w:t>
      </w:r>
      <w:r>
        <w:rPr>
          <w:i/>
          <w:iCs/>
        </w:rPr>
        <w:t xml:space="preserve"> </w:t>
      </w:r>
      <w:r>
        <w:rPr>
          <w:rStyle w:val="VerbatimChar"/>
          <w:i/>
          <w:iCs/>
        </w:rPr>
        <w:t xml:space="preserve">output/tables/cafi_condition_models.csv</w:t>
      </w:r>
      <w:r>
        <w:rPr>
          <w:i/>
          <w:iCs/>
        </w:rPr>
        <w:t xml:space="preserve">,</w:t>
      </w:r>
      <w:r>
        <w:rPr>
          <w:i/>
          <w:iCs/>
        </w:rPr>
        <w:t xml:space="preserve"> </w:t>
      </w:r>
      <w:r>
        <w:rPr>
          <w:rStyle w:val="VerbatimChar"/>
          <w:i/>
          <w:iCs/>
        </w:rPr>
        <w:t xml:space="preserve">breusch_pagan_diagnostics.csv</w:t>
      </w:r>
      <w:r>
        <w:rPr>
          <w:i/>
          <w:iCs/>
        </w:rPr>
        <w:t xml:space="preserve">,</w:t>
      </w:r>
      <w:r>
        <w:rPr>
          <w:i/>
          <w:iCs/>
        </w:rPr>
        <w:t xml:space="preserve"> </w:t>
      </w:r>
      <w:r>
        <w:rPr>
          <w:rStyle w:val="VerbatimChar"/>
          <w:i/>
          <w:iCs/>
        </w:rPr>
        <w:t xml:space="preserve">bef_hypothesis_corrections.csv</w:t>
      </w:r>
    </w:p>
    <w:p>
      <w:pPr>
        <w:pStyle w:val="BodyText"/>
      </w:pPr>
      <w:r>
        <w:rPr>
          <w:b/>
          <w:bCs/>
        </w:rPr>
        <w:t xml:space="preserve">Table S3.</w:t>
      </w:r>
      <w:r>
        <w:t xml:space="preserve"> </w:t>
      </w:r>
      <w:r>
        <w:t xml:space="preserve">Cross-study condition concordance. (A) Functional group effects: for</w:t>
      </w:r>
      <w:r>
        <w:t xml:space="preserve"> </w:t>
      </w:r>
      <w:r>
        <w:rPr>
          <w:i/>
          <w:iCs/>
        </w:rPr>
        <w:t xml:space="preserve">Trapezia</w:t>
      </w:r>
      <w:r>
        <w:t xml:space="preserve"> </w:t>
      </w:r>
      <w:r>
        <w:t xml:space="preserve">crabs, resident fish, and</w:t>
      </w:r>
      <w:r>
        <w:t xml:space="preserve"> </w:t>
      </w:r>
      <w:r>
        <w:rPr>
          <w:i/>
          <w:iCs/>
        </w:rPr>
        <w:t xml:space="preserve">Galeropsis monodonta</w:t>
      </w:r>
      <w:r>
        <w:t xml:space="preserve">, the table reports the predicted direction (from ecological theory and the companion experiment), observed direction, regression coefficient, p-value, and whether the observation matches the prediction. (B) Species-level comparison: for 11 species tested in the companion experimental study, the table reports experimental condition effects (β, p) alongside survey condition effects (β, HC3-robust p-value), the number of corals where the species was present in the survey, and whether effect directions match between studies.</w:t>
      </w:r>
    </w:p>
    <w:p>
      <w:pPr>
        <w:pStyle w:val="BodyText"/>
      </w:pPr>
      <w:r>
        <w:rPr>
          <w:i/>
          <w:iCs/>
        </w:rPr>
        <w:t xml:space="preserve">Data:</w:t>
      </w:r>
      <w:r>
        <w:rPr>
          <w:i/>
          <w:iCs/>
        </w:rPr>
        <w:t xml:space="preserve"> </w:t>
      </w:r>
      <w:r>
        <w:rPr>
          <w:rStyle w:val="VerbatimChar"/>
          <w:i/>
          <w:iCs/>
        </w:rPr>
        <w:t xml:space="preserve">output/tables/functional_effects.csv</w:t>
      </w:r>
      <w:r>
        <w:rPr>
          <w:i/>
          <w:iCs/>
        </w:rPr>
        <w:t xml:space="preserve">,</w:t>
      </w:r>
      <w:r>
        <w:rPr>
          <w:i/>
          <w:iCs/>
        </w:rPr>
        <w:t xml:space="preserve"> </w:t>
      </w:r>
      <w:r>
        <w:rPr>
          <w:rStyle w:val="VerbatimChar"/>
          <w:i/>
          <w:iCs/>
        </w:rPr>
        <w:t xml:space="preserve">cross_study_species_comparison.csv</w:t>
      </w:r>
      <w:r>
        <w:rPr>
          <w:i/>
          <w:iCs/>
        </w:rPr>
        <w:t xml:space="preserve">,</w:t>
      </w:r>
      <w:r>
        <w:rPr>
          <w:i/>
          <w:iCs/>
        </w:rPr>
        <w:t xml:space="preserve"> </w:t>
      </w:r>
      <w:r>
        <w:rPr>
          <w:rStyle w:val="VerbatimChar"/>
          <w:i/>
          <w:iCs/>
        </w:rPr>
        <w:t xml:space="preserve">cross_study_sign_concordance.csv</w:t>
      </w:r>
    </w:p>
    <w:p>
      <w:pPr>
        <w:pStyle w:val="BodyText"/>
      </w:pPr>
      <w:r>
        <w:rPr>
          <w:b/>
          <w:bCs/>
        </w:rPr>
        <w:t xml:space="preserve">Table S4.</w:t>
      </w:r>
      <w:r>
        <w:t xml:space="preserve"> </w:t>
      </w:r>
      <w:r>
        <w:t xml:space="preserve">Neighborhood model results. Full negative binomial (abundance), Poisson (richness), and linear (Shannon diversity) model results for the 61 neighborhood-surveyed corals. Predictors: log(volume), number of neighbors within 5 m, log(total neighbor volume + 1), mean inter-colony distance, and site. Table reports coefficients, standard errors, z/t statistics, and p-values for each predictor.</w:t>
      </w:r>
    </w:p>
    <w:p>
      <w:pPr>
        <w:pStyle w:val="BodyText"/>
      </w:pPr>
      <w:r>
        <w:rPr>
          <w:i/>
          <w:iCs/>
        </w:rPr>
        <w:t xml:space="preserve">Data:</w:t>
      </w:r>
      <w:r>
        <w:rPr>
          <w:i/>
          <w:iCs/>
        </w:rPr>
        <w:t xml:space="preserve"> </w:t>
      </w:r>
      <w:r>
        <w:rPr>
          <w:rStyle w:val="VerbatimChar"/>
          <w:i/>
          <w:iCs/>
        </w:rPr>
        <w:t xml:space="preserve">output/tables/landscape_full_model_results.csv</w:t>
      </w:r>
      <w:r>
        <w:rPr>
          <w:i/>
          <w:iCs/>
        </w:rPr>
        <w:t xml:space="preserve">,</w:t>
      </w:r>
      <w:r>
        <w:rPr>
          <w:i/>
          <w:iCs/>
        </w:rPr>
        <w:t xml:space="preserve"> </w:t>
      </w:r>
      <w:r>
        <w:rPr>
          <w:rStyle w:val="VerbatimChar"/>
          <w:i/>
          <w:iCs/>
        </w:rPr>
        <w:t xml:space="preserve">landscape_univariate_results.csv</w:t>
      </w:r>
      <w:r>
        <w:rPr>
          <w:i/>
          <w:iCs/>
        </w:rPr>
        <w:t xml:space="preserve">,</w:t>
      </w:r>
      <w:r>
        <w:rPr>
          <w:i/>
          <w:iCs/>
        </w:rPr>
        <w:t xml:space="preserve"> </w:t>
      </w:r>
      <w:r>
        <w:rPr>
          <w:rStyle w:val="VerbatimChar"/>
          <w:i/>
          <w:iCs/>
        </w:rPr>
        <w:t xml:space="preserve">neighborhood_effects.csv</w:t>
      </w:r>
    </w:p>
    <w:p>
      <w:pPr>
        <w:pStyle w:val="BodyText"/>
      </w:pPr>
      <w:r>
        <w:rPr>
          <w:b/>
          <w:bCs/>
        </w:rPr>
        <w:t xml:space="preserve">Table S5.</w:t>
      </w:r>
      <w:r>
        <w:t xml:space="preserve"> </w:t>
      </w:r>
      <w:r>
        <w:t xml:space="preserve">Pairwise co-occurrence analysis. For all species pairs (species present on ≥10 corals), the table reports observed co-occurrence count, null model mean and SD, SES, raw p-value, FDR-corrected p-value, and direction. Null model: volume-weighted Bernoulli draws from logistic GLM predicted probabilities (10,000 iterations).</w:t>
      </w:r>
    </w:p>
    <w:p>
      <w:pPr>
        <w:pStyle w:val="BodyText"/>
      </w:pPr>
      <w:r>
        <w:rPr>
          <w:i/>
          <w:iCs/>
        </w:rPr>
        <w:t xml:space="preserve">Data:</w:t>
      </w:r>
      <w:r>
        <w:rPr>
          <w:i/>
          <w:iCs/>
        </w:rPr>
        <w:t xml:space="preserve"> </w:t>
      </w:r>
      <w:r>
        <w:rPr>
          <w:rStyle w:val="VerbatimChar"/>
          <w:i/>
          <w:iCs/>
        </w:rPr>
        <w:t xml:space="preserve">output/tables/pairwise_cooccurrence.csv</w:t>
      </w:r>
    </w:p>
    <w:p>
      <w:pPr>
        <w:pStyle w:val="BodyText"/>
      </w:pPr>
      <w:r>
        <w:rPr>
          <w:b/>
          <w:bCs/>
        </w:rPr>
        <w:t xml:space="preserve">Table S6.</w:t>
      </w:r>
      <w:r>
        <w:t xml:space="preserve"> </w:t>
      </w:r>
      <w:r>
        <w:t xml:space="preserve">Intraspecific density patterns. For 15 species with sufficient abundance for the multinomial null model (see Supplementary Methods), the table reports total individuals, number of corals occupied, observed counts of singles/pairs/3+, null model mean and 95% CI for pair count, SES, raw and FDR-corrected p-values.</w:t>
      </w:r>
    </w:p>
    <w:p>
      <w:pPr>
        <w:pStyle w:val="BodyText"/>
      </w:pPr>
      <w:r>
        <w:rPr>
          <w:i/>
          <w:iCs/>
        </w:rPr>
        <w:t xml:space="preserve">Data:</w:t>
      </w:r>
      <w:r>
        <w:rPr>
          <w:i/>
          <w:iCs/>
        </w:rPr>
        <w:t xml:space="preserve"> </w:t>
      </w:r>
      <w:r>
        <w:rPr>
          <w:rStyle w:val="VerbatimChar"/>
          <w:i/>
          <w:iCs/>
        </w:rPr>
        <w:t xml:space="preserve">output/tables/intraspecific_density.csv</w:t>
      </w:r>
    </w:p>
    <w:p>
      <w:pPr>
        <w:pStyle w:val="BodyText"/>
      </w:pPr>
      <w:r>
        <w:rPr>
          <w:b/>
          <w:bCs/>
        </w:rPr>
        <w:t xml:space="preserve">Table S7.</w:t>
      </w:r>
      <w:r>
        <w:t xml:space="preserve"> </w:t>
      </w:r>
      <w:r>
        <w:t xml:space="preserve">Cross-study scaling concordance. For 7 species with scaling data in both the survey and companion experiment, the table reports the survey scaling exponent (β), standard error, bootstrap CI, classification, and the corresponding experimental scaling response. This table consolidates the concordance analysis and the key species scaling details into a single reference.</w:t>
      </w:r>
    </w:p>
    <w:p>
      <w:pPr>
        <w:pStyle w:val="BodyText"/>
      </w:pPr>
      <w:r>
        <w:rPr>
          <w:i/>
          <w:iCs/>
        </w:rPr>
        <w:t xml:space="preserve">Data:</w:t>
      </w:r>
      <w:r>
        <w:rPr>
          <w:i/>
          <w:iCs/>
        </w:rPr>
        <w:t xml:space="preserve"> </w:t>
      </w:r>
      <w:r>
        <w:rPr>
          <w:rStyle w:val="VerbatimChar"/>
          <w:i/>
          <w:iCs/>
        </w:rPr>
        <w:t xml:space="preserve">output/tables/cross_study_scaling_concordance.csv</w:t>
      </w:r>
      <w:r>
        <w:rPr>
          <w:i/>
          <w:iCs/>
        </w:rPr>
        <w:t xml:space="preserve">,</w:t>
      </w:r>
      <w:r>
        <w:rPr>
          <w:i/>
          <w:iCs/>
        </w:rPr>
        <w:t xml:space="preserve"> </w:t>
      </w:r>
      <w:r>
        <w:rPr>
          <w:rStyle w:val="VerbatimChar"/>
          <w:i/>
          <w:iCs/>
        </w:rPr>
        <w:t xml:space="preserve">key_species_scaling_experimental.csv</w:t>
      </w:r>
      <w:r>
        <w:rPr>
          <w:i/>
          <w:iCs/>
        </w:rPr>
        <w:t xml:space="preserve">,</w:t>
      </w:r>
      <w:r>
        <w:rPr>
          <w:i/>
          <w:iCs/>
        </w:rPr>
        <w:t xml:space="preserve"> </w:t>
      </w:r>
      <w:r>
        <w:rPr>
          <w:rStyle w:val="VerbatimChar"/>
          <w:i/>
          <w:iCs/>
        </w:rPr>
        <w:t xml:space="preserve">scaling_results_all.csv</w:t>
      </w:r>
    </w:p>
    <w:p>
      <w:pPr>
        <w:pStyle w:val="BodyText"/>
      </w:pPr>
      <w:r>
        <w:rPr>
          <w:b/>
          <w:bCs/>
        </w:rPr>
        <w:t xml:space="preserve">Table S8.</w:t>
      </w:r>
      <w:r>
        <w:t xml:space="preserve"> </w:t>
      </w:r>
      <w:r>
        <w:t xml:space="preserve">Taxonomy sensitivity results. Seven key metrics (abundance β, richness z, PERMANOVA R² for site and volume, Shannon diversity slope, rarefied richness–condition p-value, and network modularity Q) evaluated across five taxonomic resolution scenarios (baseline, species-only, merge-up, lump-down, rare-excluded; see Supplementary Methods for scenario definitions). All scaling and composition metrics are robust to taxonomic resolution.</w:t>
      </w:r>
    </w:p>
    <w:p>
      <w:pPr>
        <w:pStyle w:val="BodyText"/>
      </w:pPr>
      <w:r>
        <w:rPr>
          <w:i/>
          <w:iCs/>
        </w:rPr>
        <w:t xml:space="preserve">Data:</w:t>
      </w:r>
      <w:r>
        <w:rPr>
          <w:i/>
          <w:iCs/>
        </w:rPr>
        <w:t xml:space="preserve"> </w:t>
      </w:r>
      <w:r>
        <w:rPr>
          <w:rStyle w:val="VerbatimChar"/>
          <w:i/>
          <w:iCs/>
        </w:rPr>
        <w:t xml:space="preserve">output/tables/taxonomy_sensitivity.csv</w:t>
      </w:r>
      <w:r>
        <w:rPr>
          <w:i/>
          <w:iCs/>
        </w:rPr>
        <w:t xml:space="preserve">,</w:t>
      </w:r>
      <w:r>
        <w:rPr>
          <w:i/>
          <w:iCs/>
        </w:rPr>
        <w:t xml:space="preserve"> </w:t>
      </w:r>
      <w:r>
        <w:rPr>
          <w:rStyle w:val="VerbatimChar"/>
          <w:i/>
          <w:iCs/>
        </w:rPr>
        <w:t xml:space="preserve">taxonomy_sensitivity_species_scaling.csv</w:t>
      </w:r>
    </w:p>
    <w:p>
      <w:pPr>
        <w:pStyle w:val="BodyText"/>
      </w:pPr>
      <w:r>
        <w:rPr>
          <w:b/>
          <w:bCs/>
        </w:rPr>
        <w:t xml:space="preserve">Table S9.</w:t>
      </w:r>
      <w:r>
        <w:t xml:space="preserve"> </w:t>
      </w:r>
      <w:r>
        <w:t xml:space="preserve">Spatial autocorrelation results. Global Moran’s I for CAFI abundance, species richness, and Shannon diversity across all corals and within each site. None shows significant spatial autocorrelation (all p &gt; 0.28).</w:t>
      </w:r>
    </w:p>
    <w:p>
      <w:pPr>
        <w:pStyle w:val="BodyText"/>
      </w:pPr>
      <w:r>
        <w:rPr>
          <w:i/>
          <w:iCs/>
        </w:rPr>
        <w:t xml:space="preserve">Data:</w:t>
      </w:r>
      <w:r>
        <w:rPr>
          <w:i/>
          <w:iCs/>
        </w:rPr>
        <w:t xml:space="preserve"> </w:t>
      </w:r>
      <w:r>
        <w:rPr>
          <w:rStyle w:val="VerbatimChar"/>
          <w:i/>
          <w:iCs/>
        </w:rPr>
        <w:t xml:space="preserve">output/tables/morans_i_results.csv</w:t>
      </w:r>
      <w:r>
        <w:rPr>
          <w:i/>
          <w:iCs/>
        </w:rPr>
        <w:t xml:space="preserve">,</w:t>
      </w:r>
      <w:r>
        <w:rPr>
          <w:i/>
          <w:iCs/>
        </w:rPr>
        <w:t xml:space="preserve"> </w:t>
      </w:r>
      <w:r>
        <w:rPr>
          <w:rStyle w:val="VerbatimChar"/>
          <w:i/>
          <w:iCs/>
        </w:rPr>
        <w:t xml:space="preserve">morans_i_by_site.csv</w:t>
      </w:r>
    </w:p>
    <w:p>
      <w:pPr>
        <w:pStyle w:val="BodyText"/>
      </w:pPr>
      <w:r>
        <w:rPr>
          <w:b/>
          <w:bCs/>
        </w:rPr>
        <w:t xml:space="preserve">Table S10.</w:t>
      </w:r>
      <w:r>
        <w:t xml:space="preserve"> </w:t>
      </w:r>
      <w:r>
        <w:t xml:space="preserve">BEF model diagnostics. (A) Variance partitioning: hierarchical R² decomposition showing variance uniquely attributable to species richness, uniquely to total abundance, and shared between them, for the condition ~ richness + abundance + log(volume) + site model (n = 84). (B) Path model coefficients: standardized path coefficients from the piecewiseSEM model: volume → richness → condition and volume → abundance → condition (n = 84).</w:t>
      </w:r>
    </w:p>
    <w:p>
      <w:pPr>
        <w:pStyle w:val="BodyText"/>
      </w:pPr>
      <w:r>
        <w:rPr>
          <w:i/>
          <w:iCs/>
        </w:rPr>
        <w:t xml:space="preserve">Data:</w:t>
      </w:r>
      <w:r>
        <w:rPr>
          <w:i/>
          <w:iCs/>
        </w:rPr>
        <w:t xml:space="preserve"> </w:t>
      </w:r>
      <w:r>
        <w:rPr>
          <w:rStyle w:val="VerbatimChar"/>
          <w:i/>
          <w:iCs/>
        </w:rPr>
        <w:t xml:space="preserve">output/tables/bef_diversity_abundance_partition.csv</w:t>
      </w:r>
      <w:r>
        <w:rPr>
          <w:i/>
          <w:iCs/>
        </w:rPr>
        <w:t xml:space="preserve">,</w:t>
      </w:r>
      <w:r>
        <w:rPr>
          <w:i/>
          <w:iCs/>
        </w:rPr>
        <w:t xml:space="preserve"> </w:t>
      </w:r>
      <w:r>
        <w:rPr>
          <w:rStyle w:val="VerbatimChar"/>
          <w:i/>
          <w:iCs/>
        </w:rPr>
        <w:t xml:space="preserve">bef_path_coefficients.csv</w:t>
      </w:r>
    </w:p>
    <w:p>
      <w:r>
        <w:pict>
          <v:rect style="width:0;height:1.5pt" o:hralign="center" o:hrstd="t" o:hr="t"/>
        </w:pict>
      </w:r>
    </w:p>
    <w:bookmarkEnd w:id="149"/>
    <w:bookmarkStart w:id="158" w:name="supplementary-methods"/>
    <w:p>
      <w:pPr>
        <w:pStyle w:val="Heading2"/>
      </w:pPr>
      <w:r>
        <w:t xml:space="preserve">Supplementary Methods</w:t>
      </w:r>
    </w:p>
    <w:bookmarkStart w:id="150" w:name="X1a6c5bab97bf50ac5d5ec7993ca438ba822f9aa"/>
    <w:p>
      <w:pPr>
        <w:pStyle w:val="Heading3"/>
      </w:pPr>
      <w:r>
        <w:t xml:space="preserve">Iterated rarefaction for composition analyses</w:t>
      </w:r>
    </w:p>
    <w:p>
      <w:pPr>
        <w:pStyle w:val="FirstParagraph"/>
      </w:pPr>
      <w:r>
        <w:t xml:space="preserve">To control for abundance confounds in composition analyses, we used iterated rarefaction. For each of 100 iterations, abundances were rarefied to the minimum observed abundance per coral (drawing without replacement from each colony’s species-abundance vector), and the resulting rarefied community matrix was used to recompute Bray–Curtis dissimilarities. Ordination, PERMANOVA, PERMDISP, and db-RDA were then repeated on the averaged distance matrix. This approach preserves the rank-order of species dominance while equalizing total abundance across colonies, distinguishing genuine compositional turnover from passive sampling artifacts. The rarefied db-RDA confirmed that volume explains significant composition variation (2.4% of variation, p = 0.001) even after removing the abundance confound.</w:t>
      </w:r>
    </w:p>
    <w:bookmarkEnd w:id="150"/>
    <w:bookmarkStart w:id="151" w:name="distance-metric-sensitivity"/>
    <w:p>
      <w:pPr>
        <w:pStyle w:val="Heading3"/>
      </w:pPr>
      <w:r>
        <w:t xml:space="preserve">Distance metric sensitivity</w:t>
      </w:r>
    </w:p>
    <w:p>
      <w:pPr>
        <w:pStyle w:val="FirstParagraph"/>
      </w:pPr>
      <w:r>
        <w:t xml:space="preserve">To ensure that compositional results were not driven by distance metric choice, we repeated the marginal PERMANOVA (log(volume) + site) using five metrics: (1) Bray–Curtis on Hellinger-transformed abundances (primary analysis); (2) Bray–Curtis on Wisconsin-transformed abundances; (3) Jaccard on presence–absence data; (4) Gower distance on raw abundances; and (5) Raup–Crick (null-model-based). Site effects were significant across all five metrics (all p ≤ 0.001). Volume effects were significant for all metrics except Gower (Volume p = 1.0; Gower treats shared absences as similarity, inflating distances among sparse communities). Composition divergence by size class was not robust across metrics, consistent with the rarefaction result showing the divergence pattern is an abundance artifact.</w:t>
      </w:r>
    </w:p>
    <w:bookmarkEnd w:id="151"/>
    <w:bookmarkStart w:id="152" w:name="balanced-site-subsampling"/>
    <w:p>
      <w:pPr>
        <w:pStyle w:val="Heading3"/>
      </w:pPr>
      <w:r>
        <w:t xml:space="preserve">Balanced site subsampling</w:t>
      </w:r>
    </w:p>
    <w:p>
      <w:pPr>
        <w:pStyle w:val="FirstParagraph"/>
      </w:pPr>
      <w:r>
        <w:t xml:space="preserve">To verify that PERMANOVA results are robust to unequal site sample sizes (35–39 corals per site), we performed 500 balanced subsampling iterations. In each iteration, n = min(site counts) = 30 corals were randomly drawn from each site (after excluding low-abundance corals), and PERMANOVA was re-run. The site effect was significant (p &lt; 0.05) in 100% of iterations (mean p = 0.001 for Bray–Curtis on Hellinger-transformed abundances), confirming that the site signal is robust to sample size reduction. This result was consistent across all five distance metrics (Fig. S2).</w:t>
      </w:r>
    </w:p>
    <w:bookmarkEnd w:id="152"/>
    <w:bookmarkStart w:id="153" w:name="volume-weighted-co-occurrence-null-model"/>
    <w:p>
      <w:pPr>
        <w:pStyle w:val="Heading3"/>
      </w:pPr>
      <w:r>
        <w:t xml:space="preserve">Volume-weighted co-occurrence null model</w:t>
      </w:r>
    </w:p>
    <w:p>
      <w:pPr>
        <w:pStyle w:val="FirstParagraph"/>
      </w:pPr>
      <w:r>
        <w:t xml:space="preserve">The null model for pairwise co-occurrence follows the framework of</w:t>
      </w:r>
      <w:r>
        <w:t xml:space="preserve"> </w:t>
      </w:r>
      <w:r>
        <w:t xml:space="preserve">Stier et al. (</w:t>
      </w:r>
      <w:hyperlink w:anchor="ref-Stier2012">
        <w:r>
          <w:rPr>
            <w:rStyle w:val="Hyperlink"/>
          </w:rPr>
          <w:t xml:space="preserve">2012</w:t>
        </w:r>
      </w:hyperlink>
      <w:r>
        <w:t xml:space="preserve">)</w:t>
      </w:r>
      <w:r>
        <w:t xml:space="preserve">, extended to account for the coral size confound. For each of the species included (present on ≥10 corals), we fit a logistic GLM:</w:t>
      </w:r>
    </w:p>
    <w:p>
      <w:pPr>
        <w:pStyle w:val="BodyText"/>
      </w:pPr>
      <w:r>
        <w:t xml:space="preserve">P(species present | coral</w:t>
      </w:r>
      <w:r>
        <w:t xml:space="preserve"> </w:t>
      </w:r>
      <w:r>
        <w:rPr>
          <w:i/>
          <w:iCs/>
        </w:rPr>
        <w:t xml:space="preserve">i</w:t>
      </w:r>
      <w:r>
        <w:t xml:space="preserve">) ~ log(volume</w:t>
      </w:r>
      <w:r>
        <w:rPr>
          <w:i/>
          <w:iCs/>
          <w:vertAlign w:val="subscript"/>
        </w:rPr>
        <w:t xml:space="preserve">i</w:t>
      </w:r>
      <w:r>
        <w:t xml:space="preserve">) + site</w:t>
      </w:r>
      <w:r>
        <w:rPr>
          <w:i/>
          <w:iCs/>
          <w:vertAlign w:val="subscript"/>
        </w:rPr>
        <w:t xml:space="preserve">i</w:t>
      </w:r>
    </w:p>
    <w:p>
      <w:pPr>
        <w:pStyle w:val="BodyText"/>
      </w:pPr>
      <w:r>
        <w:t xml:space="preserve">yielding a predicted probability p</w:t>
      </w:r>
      <w:r>
        <w:rPr>
          <w:vertAlign w:val="subscript"/>
        </w:rPr>
        <w:t xml:space="preserve">ij</w:t>
      </w:r>
      <w:r>
        <w:t xml:space="preserve"> </w:t>
      </w:r>
      <w:r>
        <w:t xml:space="preserve">for species</w:t>
      </w:r>
      <w:r>
        <w:t xml:space="preserve"> </w:t>
      </w:r>
      <w:r>
        <w:rPr>
          <w:i/>
          <w:iCs/>
        </w:rPr>
        <w:t xml:space="preserve">j</w:t>
      </w:r>
      <w:r>
        <w:t xml:space="preserve"> </w:t>
      </w:r>
      <w:r>
        <w:t xml:space="preserve">on coral</w:t>
      </w:r>
      <w:r>
        <w:t xml:space="preserve"> </w:t>
      </w:r>
      <w:r>
        <w:rPr>
          <w:i/>
          <w:iCs/>
        </w:rPr>
        <w:t xml:space="preserve">i</w:t>
      </w:r>
      <w:r>
        <w:t xml:space="preserve">. For each null iteration (N = 10,000), species presences were drawn independently from Bernoulli(p</w:t>
      </w:r>
      <w:r>
        <w:rPr>
          <w:vertAlign w:val="subscript"/>
        </w:rPr>
        <w:t xml:space="preserve">ij</w:t>
      </w:r>
      <w:r>
        <w:t xml:space="preserve">) distributions, preserving the volume-dependent occurrence structure while randomizing pairwise associations. For each species pair, observed co-occurrence was compared to the null distribution to compute SES and a two-sided p-value. FDR correction (Benjamini–Hochberg) was applied across all pairwise tests. This approach ensures that any detected co-occurrence signal is not a trivial consequence of both species preferring large (or small) corals.</w:t>
      </w:r>
    </w:p>
    <w:bookmarkEnd w:id="153"/>
    <w:bookmarkStart w:id="154" w:name="intraspecific-density-null-model"/>
    <w:p>
      <w:pPr>
        <w:pStyle w:val="Heading3"/>
      </w:pPr>
      <w:r>
        <w:t xml:space="preserve">Intraspecific density null model</w:t>
      </w:r>
    </w:p>
    <w:p>
      <w:pPr>
        <w:pStyle w:val="FirstParagraph"/>
      </w:pPr>
      <w:r>
        <w:t xml:space="preserve">To test whether conspecifics aggregate on individual corals more than expected (consistent with mating-pair formation), we used a multinomial allocation null model. For each species, N total individuals were allocated across corals proportional to coral volume (larger corals receive more individuals). For each of 10,000 null iterations, we recorded the number of corals with exactly two individuals (</w:t>
      </w:r>
      <w:r>
        <w:t xml:space="preserve">“pairs”</w:t>
      </w:r>
      <w:r>
        <w:t xml:space="preserve">) and compared the observed count to the null distribution using SES. Species with SES &gt; 1.96 (FDR-corrected) were classified as showing significant mating-pair aggregation.</w:t>
      </w:r>
    </w:p>
    <w:bookmarkEnd w:id="154"/>
    <w:bookmarkStart w:id="155" w:name="X99bfe9a52d6405d5243e9530e981981f93a6c1c"/>
    <w:p>
      <w:pPr>
        <w:pStyle w:val="Heading3"/>
      </w:pPr>
      <w:r>
        <w:t xml:space="preserve">Position correction for physiological traits</w:t>
      </w:r>
    </w:p>
    <w:p>
      <w:pPr>
        <w:pStyle w:val="FirstParagraph"/>
      </w:pPr>
      <w:r>
        <w:t xml:space="preserve">Coral branch tissue exhibits gradients in protein, carbohydrate, and zooxanthellae density along the branch axis, with higher values near the base and lower values at the tips. Because smaller colonies required sampling a proportionally larger fraction of the branch (including lower-density tips), a systematic size bias exists in raw trait values. To correct for this, we regressed each physiological trait on stump length (distance from branch base to the cut) and nubbin length (total fragment length) using linear models. The residuals from these regressions were standardized (z-scored) to place all traits on a common scale, yielding position-corrected trait values that can be meaningfully compared across colony sizes. PCA was then performed on the four standardized corrected traits (protein, carbohydrate, zooxanthellae density, AFDW) to derive condition PC1. A sensitivity analysis comparing corrected and raw (uncorrected) condition scores confirmed that the position correction did not qualitatively change the richness–condition relationship (both yielded the same significance outcome).</w:t>
      </w:r>
    </w:p>
    <w:bookmarkEnd w:id="155"/>
    <w:bookmarkStart w:id="156" w:name="power-analysis"/>
    <w:p>
      <w:pPr>
        <w:pStyle w:val="Heading3"/>
      </w:pPr>
      <w:r>
        <w:t xml:space="preserve">Power analysis</w:t>
      </w:r>
    </w:p>
    <w:p>
      <w:pPr>
        <w:pStyle w:val="FirstParagraph"/>
      </w:pPr>
      <w:r>
        <w:t xml:space="preserve">Prospective power analyses were conducted using the pwr package</w:t>
      </w:r>
      <w:r>
        <w:t xml:space="preserve"> </w:t>
      </w:r>
      <w:r>
        <w:t xml:space="preserve">(</w:t>
      </w:r>
      <w:hyperlink w:anchor="ref-Champely2020">
        <w:r>
          <w:rPr>
            <w:rStyle w:val="Hyperlink"/>
          </w:rPr>
          <w:t xml:space="preserve">Champely, 2020</w:t>
        </w:r>
      </w:hyperlink>
      <w:r>
        <w:t xml:space="preserve">)</w:t>
      </w:r>
      <w:r>
        <w:t xml:space="preserve">. For the CAFI–condition feedbacks (Q3; n = 84), we computed power to detect medium (R² = 0.10; power = 76%) and small (R² = 0.05; power = 43%) effects at α = 0.05 with 2 numerator degrees of freedom (CAFI predictor + intercept) and site + volume as covariates. The minimum detectable R² at 80% power was 0.108. To assess cross-study comparability, we computed power to detect the companion experiment’s observed effect size (R² ≈ 0.12): the survey had 85% power, confirming that the null result for individual predictors is not an artifact of insufficient sample size. For the neighborhood analysis (n = 61, 3 numerator degrees of freedom), power was 65% for medium effects (R² = 0.10) and 35% for small effects (R² = 0.05).</w:t>
      </w:r>
    </w:p>
    <w:bookmarkEnd w:id="156"/>
    <w:bookmarkStart w:id="157" w:name="taxonomy-sensitivity-analysis"/>
    <w:p>
      <w:pPr>
        <w:pStyle w:val="Heading3"/>
      </w:pPr>
      <w:r>
        <w:t xml:space="preserve">Taxonomy sensitivity analysis</w:t>
      </w:r>
    </w:p>
    <w:p>
      <w:pPr>
        <w:pStyle w:val="FirstParagraph"/>
      </w:pPr>
      <w:r>
        <w:t xml:space="preserve">To assess whether results depended on taxonomic resolution, we repeated seven key analyses under five resolution scenarios: (1) baseline (243 OTUs at the finest available resolution), (2) species-only (154 species-level OTUs; higher-level identifications excluded), (3) merge-up (specimens identified to genus or family merged with congeneric or confamilial species-level OTUs), (4) lump-down (all OTUs lumped to genus level, reducing resolution), and (5) rare-excluded (OTUs with fewer than 3 total individuals removed). For each scenario, we recomputed: abundance scaling exponent (β), richness scaling exponent (z), PERMANOVA R² for site and volume, Shannon diversity scaling slope, rarefied richness–condition p-value, and network modularity (Q). All scenarios produced qualitatively identical results (Fig. S6; Table S8).</w:t>
      </w:r>
    </w:p>
    <w:p>
      <w:r>
        <w:pict>
          <v:rect style="width:0;height:1.5pt" o:hralign="center" o:hrstd="t" o:hr="t"/>
        </w:pict>
      </w:r>
    </w:p>
    <w:bookmarkEnd w:id="157"/>
    <w:bookmarkEnd w:id="158"/>
    <w:bookmarkStart w:id="160" w:name="X57c2401fa713d47d488575e81b173f5100a76db"/>
    <w:p>
      <w:pPr>
        <w:pStyle w:val="Heading2"/>
      </w:pPr>
      <w:r>
        <w:t xml:space="preserve">Data Availability: Supplementary Table to CSV File Index</w:t>
      </w:r>
    </w:p>
    <w:p>
      <w:pPr>
        <w:pStyle w:val="FirstParagraph"/>
      </w:pPr>
      <w:r>
        <w:t xml:space="preserve">All statistical results referenced in the supplementary tables are exported as CSV files in</w:t>
      </w:r>
      <w:r>
        <w:t xml:space="preserve"> </w:t>
      </w:r>
      <w:r>
        <w:rPr>
          <w:rStyle w:val="VerbatimChar"/>
        </w:rPr>
        <w:t xml:space="preserve">output/tables/</w:t>
      </w:r>
      <w:r>
        <w:t xml:space="preserve">. The table below maps each supplement table to its source file(s).</w:t>
      </w:r>
    </w:p>
    <w:tbl>
      <w:tblPr>
        <w:tblStyle w:val="Table"/>
        <w:tblW w:type="pct" w:w="5000"/>
        <w:tblLayout w:type="fixed"/>
        <w:tblLook w:firstRow="1" w:lastRow="0" w:firstColumn="0" w:lastColumn="0" w:noHBand="0" w:noVBand="0" w:val="0020"/>
      </w:tblPr>
      <w:tblGrid>
        <w:gridCol w:w="2992"/>
        <w:gridCol w:w="2288"/>
        <w:gridCol w:w="2640"/>
      </w:tblGrid>
      <w:tr>
        <w:trPr>
          <w:tblHeader w:val="on"/>
        </w:trPr>
        <w:tc>
          <w:tcPr/>
          <w:p>
            <w:pPr>
              <w:pStyle w:val="Compact"/>
            </w:pPr>
            <w:r>
              <w:t xml:space="preserve">Supplement Table</w:t>
            </w:r>
          </w:p>
        </w:tc>
        <w:tc>
          <w:tcPr/>
          <w:p>
            <w:pPr>
              <w:pStyle w:val="Compact"/>
            </w:pPr>
            <w:r>
              <w:t xml:space="preserve">CSV File(s)</w:t>
            </w:r>
          </w:p>
        </w:tc>
        <w:tc>
          <w:tcPr/>
          <w:p>
            <w:pPr>
              <w:pStyle w:val="Compact"/>
            </w:pPr>
            <w:r>
              <w:t xml:space="preserve">Source Script</w:t>
            </w:r>
          </w:p>
        </w:tc>
      </w:tr>
      <w:tr>
        <w:tc>
          <w:tcPr/>
          <w:p>
            <w:pPr>
              <w:pStyle w:val="Compact"/>
            </w:pPr>
            <w:r>
              <w:rPr>
                <w:b/>
                <w:bCs/>
              </w:rPr>
              <w:t xml:space="preserve">Table S1</w:t>
            </w:r>
            <w:r>
              <w:t xml:space="preserve"> </w:t>
            </w:r>
            <w:r>
              <w:t xml:space="preserve">(Scaling results)</w:t>
            </w:r>
          </w:p>
        </w:tc>
        <w:tc>
          <w:tcPr/>
          <w:p>
            <w:pPr>
              <w:pStyle w:val="Compact"/>
            </w:pPr>
            <w:r>
              <w:rPr>
                <w:rStyle w:val="VerbatimChar"/>
              </w:rPr>
              <w:t xml:space="preserve">scaling_results_all.csv</w:t>
            </w:r>
            <w:r>
              <w:t xml:space="preserve">,</w:t>
            </w:r>
            <w:r>
              <w:t xml:space="preserve"> </w:t>
            </w:r>
            <w:r>
              <w:rPr>
                <w:rStyle w:val="VerbatimChar"/>
              </w:rPr>
              <w:t xml:space="preserve">scaling_community_level.csv</w:t>
            </w:r>
            <w:r>
              <w:t xml:space="preserve">,</w:t>
            </w:r>
            <w:r>
              <w:t xml:space="preserve"> </w:t>
            </w:r>
            <w:r>
              <w:rPr>
                <w:rStyle w:val="VerbatimChar"/>
              </w:rPr>
              <w:t xml:space="preserve">scaling_meta_analysis.csv</w:t>
            </w:r>
          </w:p>
        </w:tc>
        <w:tc>
          <w:tcPr/>
          <w:p>
            <w:pPr>
              <w:pStyle w:val="Compact"/>
            </w:pPr>
            <w:r>
              <w:rPr>
                <w:rStyle w:val="VerbatimChar"/>
              </w:rPr>
              <w:t xml:space="preserve">05_species_scaling_analysis.R</w:t>
            </w:r>
          </w:p>
        </w:tc>
      </w:tr>
      <w:tr>
        <w:tc>
          <w:tcPr/>
          <w:p>
            <w:pPr>
              <w:pStyle w:val="Compact"/>
            </w:pPr>
            <w:r>
              <w:rPr>
                <w:b/>
                <w:bCs/>
              </w:rPr>
              <w:t xml:space="preserve">Table S2</w:t>
            </w:r>
            <w:r>
              <w:t xml:space="preserve"> </w:t>
            </w:r>
            <w:r>
              <w:t xml:space="preserve">(CAFI → condition models)</w:t>
            </w:r>
          </w:p>
        </w:tc>
        <w:tc>
          <w:tcPr/>
          <w:p>
            <w:pPr>
              <w:pStyle w:val="Compact"/>
            </w:pPr>
            <w:r>
              <w:rPr>
                <w:rStyle w:val="VerbatimChar"/>
              </w:rPr>
              <w:t xml:space="preserve">cafi_condition_models.csv</w:t>
            </w:r>
            <w:r>
              <w:t xml:space="preserve">,</w:t>
            </w:r>
            <w:r>
              <w:t xml:space="preserve"> </w:t>
            </w:r>
            <w:r>
              <w:rPr>
                <w:rStyle w:val="VerbatimChar"/>
              </w:rPr>
              <w:t xml:space="preserve">breusch_pagan_diagnostics.csv</w:t>
            </w:r>
            <w:r>
              <w:t xml:space="preserve">,</w:t>
            </w:r>
            <w:r>
              <w:t xml:space="preserve"> </w:t>
            </w:r>
            <w:r>
              <w:rPr>
                <w:rStyle w:val="VerbatimChar"/>
              </w:rPr>
              <w:t xml:space="preserve">bef_hypothesis_corrections.csv</w:t>
            </w:r>
          </w:p>
        </w:tc>
        <w:tc>
          <w:tcPr/>
          <w:p>
            <w:pPr>
              <w:pStyle w:val="Compact"/>
            </w:pPr>
            <w:r>
              <w:rPr>
                <w:rStyle w:val="VerbatimChar"/>
              </w:rPr>
              <w:t xml:space="preserve">09_cafi_condition_feedbacks.R</w:t>
            </w:r>
          </w:p>
        </w:tc>
      </w:tr>
      <w:tr>
        <w:tc>
          <w:tcPr/>
          <w:p>
            <w:pPr>
              <w:pStyle w:val="Compact"/>
            </w:pPr>
            <w:r>
              <w:rPr>
                <w:b/>
                <w:bCs/>
              </w:rPr>
              <w:t xml:space="preserve">Table S3</w:t>
            </w:r>
            <w:r>
              <w:t xml:space="preserve"> </w:t>
            </w:r>
            <w:r>
              <w:t xml:space="preserve">(Cross-study condition concordance)</w:t>
            </w:r>
          </w:p>
        </w:tc>
        <w:tc>
          <w:tcPr/>
          <w:p>
            <w:pPr>
              <w:pStyle w:val="Compact"/>
            </w:pPr>
            <w:r>
              <w:rPr>
                <w:rStyle w:val="VerbatimChar"/>
              </w:rPr>
              <w:t xml:space="preserve">functional_effects.csv</w:t>
            </w:r>
            <w:r>
              <w:t xml:space="preserve">,</w:t>
            </w:r>
            <w:r>
              <w:t xml:space="preserve"> </w:t>
            </w:r>
            <w:r>
              <w:rPr>
                <w:rStyle w:val="VerbatimChar"/>
              </w:rPr>
              <w:t xml:space="preserve">cross_study_species_comparison.csv</w:t>
            </w:r>
            <w:r>
              <w:t xml:space="preserve">,</w:t>
            </w:r>
            <w:r>
              <w:t xml:space="preserve"> </w:t>
            </w:r>
            <w:r>
              <w:rPr>
                <w:rStyle w:val="VerbatimChar"/>
              </w:rPr>
              <w:t xml:space="preserve">cross_study_sign_concordance.csv</w:t>
            </w:r>
          </w:p>
        </w:tc>
        <w:tc>
          <w:tcPr/>
          <w:p>
            <w:pPr>
              <w:pStyle w:val="Compact"/>
            </w:pPr>
            <w:r>
              <w:rPr>
                <w:rStyle w:val="VerbatimChar"/>
              </w:rPr>
              <w:t xml:space="preserve">09_cafi_condition_feedbacks.R</w:t>
            </w:r>
          </w:p>
        </w:tc>
      </w:tr>
      <w:tr>
        <w:tc>
          <w:tcPr/>
          <w:p>
            <w:pPr>
              <w:pStyle w:val="Compact"/>
            </w:pPr>
            <w:r>
              <w:rPr>
                <w:b/>
                <w:bCs/>
              </w:rPr>
              <w:t xml:space="preserve">Table S4</w:t>
            </w:r>
            <w:r>
              <w:t xml:space="preserve"> </w:t>
            </w:r>
            <w:r>
              <w:t xml:space="preserve">(Neighborhood models)</w:t>
            </w:r>
          </w:p>
        </w:tc>
        <w:tc>
          <w:tcPr/>
          <w:p>
            <w:pPr>
              <w:pStyle w:val="Compact"/>
            </w:pPr>
            <w:r>
              <w:rPr>
                <w:rStyle w:val="VerbatimChar"/>
              </w:rPr>
              <w:t xml:space="preserve">landscape_full_model_results.csv</w:t>
            </w:r>
            <w:r>
              <w:t xml:space="preserve">,</w:t>
            </w:r>
            <w:r>
              <w:t xml:space="preserve"> </w:t>
            </w:r>
            <w:r>
              <w:rPr>
                <w:rStyle w:val="VerbatimChar"/>
              </w:rPr>
              <w:t xml:space="preserve">landscape_univariate_results.csv</w:t>
            </w:r>
            <w:r>
              <w:t xml:space="preserve">,</w:t>
            </w:r>
            <w:r>
              <w:t xml:space="preserve"> </w:t>
            </w:r>
            <w:r>
              <w:rPr>
                <w:rStyle w:val="VerbatimChar"/>
              </w:rPr>
              <w:t xml:space="preserve">neighborhood_effects.csv</w:t>
            </w:r>
          </w:p>
        </w:tc>
        <w:tc>
          <w:tcPr/>
          <w:p>
            <w:pPr>
              <w:pStyle w:val="Compact"/>
            </w:pPr>
            <w:r>
              <w:rPr>
                <w:rStyle w:val="VerbatimChar"/>
              </w:rPr>
              <w:t xml:space="preserve">04_landscape_effects.R</w:t>
            </w:r>
          </w:p>
        </w:tc>
      </w:tr>
      <w:tr>
        <w:tc>
          <w:tcPr/>
          <w:p>
            <w:pPr>
              <w:pStyle w:val="Compact"/>
            </w:pPr>
            <w:r>
              <w:rPr>
                <w:b/>
                <w:bCs/>
              </w:rPr>
              <w:t xml:space="preserve">Table S5</w:t>
            </w:r>
            <w:r>
              <w:t xml:space="preserve"> </w:t>
            </w:r>
            <w:r>
              <w:t xml:space="preserve">(Pairwise co-occurrence)</w:t>
            </w:r>
          </w:p>
        </w:tc>
        <w:tc>
          <w:tcPr/>
          <w:p>
            <w:pPr>
              <w:pStyle w:val="Compact"/>
            </w:pPr>
            <w:r>
              <w:rPr>
                <w:rStyle w:val="VerbatimChar"/>
              </w:rPr>
              <w:t xml:space="preserve">pairwise_cooccurrence.csv</w:t>
            </w:r>
          </w:p>
        </w:tc>
        <w:tc>
          <w:tcPr/>
          <w:p>
            <w:pPr>
              <w:pStyle w:val="Compact"/>
            </w:pPr>
            <w:r>
              <w:rPr>
                <w:rStyle w:val="VerbatimChar"/>
              </w:rPr>
              <w:t xml:space="preserve">06_cooccurrence_analysis.R</w:t>
            </w:r>
          </w:p>
        </w:tc>
      </w:tr>
      <w:tr>
        <w:tc>
          <w:tcPr/>
          <w:p>
            <w:pPr>
              <w:pStyle w:val="Compact"/>
            </w:pPr>
            <w:r>
              <w:rPr>
                <w:b/>
                <w:bCs/>
              </w:rPr>
              <w:t xml:space="preserve">Table S6</w:t>
            </w:r>
            <w:r>
              <w:t xml:space="preserve"> </w:t>
            </w:r>
            <w:r>
              <w:t xml:space="preserve">(Intraspecific density)</w:t>
            </w:r>
          </w:p>
        </w:tc>
        <w:tc>
          <w:tcPr/>
          <w:p>
            <w:pPr>
              <w:pStyle w:val="Compact"/>
            </w:pPr>
            <w:r>
              <w:rPr>
                <w:rStyle w:val="VerbatimChar"/>
              </w:rPr>
              <w:t xml:space="preserve">intraspecific_density.csv</w:t>
            </w:r>
          </w:p>
        </w:tc>
        <w:tc>
          <w:tcPr/>
          <w:p>
            <w:pPr>
              <w:pStyle w:val="Compact"/>
            </w:pPr>
            <w:r>
              <w:rPr>
                <w:rStyle w:val="VerbatimChar"/>
              </w:rPr>
              <w:t xml:space="preserve">06_cooccurrence_analysis.R</w:t>
            </w:r>
          </w:p>
        </w:tc>
      </w:tr>
      <w:tr>
        <w:tc>
          <w:tcPr/>
          <w:p>
            <w:pPr>
              <w:pStyle w:val="Compact"/>
            </w:pPr>
            <w:r>
              <w:rPr>
                <w:b/>
                <w:bCs/>
              </w:rPr>
              <w:t xml:space="preserve">Table S7</w:t>
            </w:r>
            <w:r>
              <w:t xml:space="preserve"> </w:t>
            </w:r>
            <w:r>
              <w:t xml:space="preserve">(Cross-study scaling concordance)</w:t>
            </w:r>
          </w:p>
        </w:tc>
        <w:tc>
          <w:tcPr/>
          <w:p>
            <w:pPr>
              <w:pStyle w:val="Compact"/>
            </w:pPr>
            <w:r>
              <w:rPr>
                <w:rStyle w:val="VerbatimChar"/>
              </w:rPr>
              <w:t xml:space="preserve">cross_study_scaling_concordance.csv</w:t>
            </w:r>
            <w:r>
              <w:t xml:space="preserve">,</w:t>
            </w:r>
            <w:r>
              <w:t xml:space="preserve"> </w:t>
            </w:r>
            <w:r>
              <w:rPr>
                <w:rStyle w:val="VerbatimChar"/>
              </w:rPr>
              <w:t xml:space="preserve">key_species_scaling_experimental.csv</w:t>
            </w:r>
            <w:r>
              <w:t xml:space="preserve">,</w:t>
            </w:r>
            <w:r>
              <w:t xml:space="preserve"> </w:t>
            </w:r>
            <w:r>
              <w:rPr>
                <w:rStyle w:val="VerbatimChar"/>
              </w:rPr>
              <w:t xml:space="preserve">scaling_results_all.csv</w:t>
            </w:r>
          </w:p>
        </w:tc>
        <w:tc>
          <w:tcPr/>
          <w:p>
            <w:pPr>
              <w:pStyle w:val="Compact"/>
            </w:pPr>
            <w:r>
              <w:rPr>
                <w:rStyle w:val="VerbatimChar"/>
              </w:rPr>
              <w:t xml:space="preserve">05_species_scaling_analysis.R</w:t>
            </w:r>
          </w:p>
        </w:tc>
      </w:tr>
      <w:tr>
        <w:tc>
          <w:tcPr/>
          <w:p>
            <w:pPr>
              <w:pStyle w:val="Compact"/>
            </w:pPr>
            <w:r>
              <w:rPr>
                <w:b/>
                <w:bCs/>
              </w:rPr>
              <w:t xml:space="preserve">Table S8</w:t>
            </w:r>
            <w:r>
              <w:t xml:space="preserve"> </w:t>
            </w:r>
            <w:r>
              <w:t xml:space="preserve">(Taxonomy sensitivity)</w:t>
            </w:r>
          </w:p>
        </w:tc>
        <w:tc>
          <w:tcPr/>
          <w:p>
            <w:pPr>
              <w:pStyle w:val="Compact"/>
            </w:pPr>
            <w:r>
              <w:rPr>
                <w:rStyle w:val="VerbatimChar"/>
              </w:rPr>
              <w:t xml:space="preserve">taxonomy_sensitivity.csv</w:t>
            </w:r>
            <w:r>
              <w:t xml:space="preserve">,</w:t>
            </w:r>
            <w:r>
              <w:t xml:space="preserve"> </w:t>
            </w:r>
            <w:r>
              <w:rPr>
                <w:rStyle w:val="VerbatimChar"/>
              </w:rPr>
              <w:t xml:space="preserve">taxonomy_sensitivity_species_scaling.csv</w:t>
            </w:r>
          </w:p>
        </w:tc>
        <w:tc>
          <w:tcPr/>
          <w:p>
            <w:pPr>
              <w:pStyle w:val="Compact"/>
            </w:pPr>
            <w:r>
              <w:rPr>
                <w:rStyle w:val="VerbatimChar"/>
              </w:rPr>
              <w:t xml:space="preserve">13_taxonomy_sensitivity.R</w:t>
            </w:r>
          </w:p>
        </w:tc>
      </w:tr>
      <w:tr>
        <w:tc>
          <w:tcPr/>
          <w:p>
            <w:pPr>
              <w:pStyle w:val="Compact"/>
            </w:pPr>
            <w:r>
              <w:rPr>
                <w:b/>
                <w:bCs/>
              </w:rPr>
              <w:t xml:space="preserve">Table S9</w:t>
            </w:r>
            <w:r>
              <w:t xml:space="preserve"> </w:t>
            </w:r>
            <w:r>
              <w:t xml:space="preserve">(Spatial autocorrelation)</w:t>
            </w:r>
          </w:p>
        </w:tc>
        <w:tc>
          <w:tcPr/>
          <w:p>
            <w:pPr>
              <w:pStyle w:val="Compact"/>
            </w:pPr>
            <w:r>
              <w:rPr>
                <w:rStyle w:val="VerbatimChar"/>
              </w:rPr>
              <w:t xml:space="preserve">morans_i_results.csv</w:t>
            </w:r>
            <w:r>
              <w:t xml:space="preserve">,</w:t>
            </w:r>
            <w:r>
              <w:t xml:space="preserve"> </w:t>
            </w:r>
            <w:r>
              <w:rPr>
                <w:rStyle w:val="VerbatimChar"/>
              </w:rPr>
              <w:t xml:space="preserve">morans_i_by_site.csv</w:t>
            </w:r>
          </w:p>
        </w:tc>
        <w:tc>
          <w:tcPr/>
          <w:p>
            <w:pPr>
              <w:pStyle w:val="Compact"/>
            </w:pPr>
            <w:r>
              <w:rPr>
                <w:rStyle w:val="VerbatimChar"/>
              </w:rPr>
              <w:t xml:space="preserve">07_spatial_autocorrelation.R</w:t>
            </w:r>
          </w:p>
        </w:tc>
      </w:tr>
      <w:tr>
        <w:tc>
          <w:tcPr/>
          <w:p>
            <w:pPr>
              <w:pStyle w:val="Compact"/>
            </w:pPr>
            <w:r>
              <w:rPr>
                <w:b/>
                <w:bCs/>
              </w:rPr>
              <w:t xml:space="preserve">Table S10</w:t>
            </w:r>
            <w:r>
              <w:t xml:space="preserve"> </w:t>
            </w:r>
            <w:r>
              <w:t xml:space="preserve">(BEF model diagnostics)</w:t>
            </w:r>
          </w:p>
        </w:tc>
        <w:tc>
          <w:tcPr/>
          <w:p>
            <w:pPr>
              <w:pStyle w:val="Compact"/>
            </w:pPr>
            <w:r>
              <w:rPr>
                <w:rStyle w:val="VerbatimChar"/>
              </w:rPr>
              <w:t xml:space="preserve">bef_diversity_abundance_partition.csv</w:t>
            </w:r>
            <w:r>
              <w:t xml:space="preserve">,</w:t>
            </w:r>
            <w:r>
              <w:t xml:space="preserve"> </w:t>
            </w:r>
            <w:r>
              <w:rPr>
                <w:rStyle w:val="VerbatimChar"/>
              </w:rPr>
              <w:t xml:space="preserve">bef_path_coefficients.csv</w:t>
            </w:r>
          </w:p>
        </w:tc>
        <w:tc>
          <w:tcPr/>
          <w:p>
            <w:pPr>
              <w:pStyle w:val="Compact"/>
            </w:pPr>
            <w:r>
              <w:rPr>
                <w:rStyle w:val="VerbatimChar"/>
              </w:rPr>
              <w:t xml:space="preserve">09_cafi_condition_feedbacks.R</w:t>
            </w:r>
          </w:p>
        </w:tc>
      </w:tr>
    </w:tbl>
    <w:bookmarkStart w:id="159" w:name="Xfaac2a8485512cf9d7314510668a3f58b1ff41d"/>
    <w:p>
      <w:pPr>
        <w:pStyle w:val="Heading3"/>
      </w:pPr>
      <w:r>
        <w:t xml:space="preserve">Additional CSV outputs not mapped to numbered tables</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pPr>
            <w:r>
              <w:t xml:space="preserve">CSV File</w:t>
            </w:r>
          </w:p>
        </w:tc>
        <w:tc>
          <w:tcPr/>
          <w:p>
            <w:pPr>
              <w:pStyle w:val="Compact"/>
            </w:pPr>
            <w:r>
              <w:t xml:space="preserve">Description</w:t>
            </w:r>
          </w:p>
        </w:tc>
        <w:tc>
          <w:tcPr/>
          <w:p>
            <w:pPr>
              <w:pStyle w:val="Compact"/>
            </w:pPr>
            <w:r>
              <w:t xml:space="preserve">Source Script</w:t>
            </w:r>
          </w:p>
        </w:tc>
      </w:tr>
      <w:tr>
        <w:tc>
          <w:tcPr/>
          <w:p>
            <w:pPr>
              <w:pStyle w:val="Compact"/>
            </w:pPr>
            <w:r>
              <w:rPr>
                <w:rStyle w:val="VerbatimChar"/>
              </w:rPr>
              <w:t xml:space="preserve">permanova_results.csv</w:t>
            </w:r>
          </w:p>
        </w:tc>
        <w:tc>
          <w:tcPr/>
          <w:p>
            <w:pPr>
              <w:pStyle w:val="Compact"/>
            </w:pPr>
            <w:r>
              <w:t xml:space="preserve">PERMANOVA Type I + Type III results</w:t>
            </w:r>
          </w:p>
        </w:tc>
        <w:tc>
          <w:tcPr/>
          <w:p>
            <w:pPr>
              <w:pStyle w:val="Compact"/>
            </w:pPr>
            <w:r>
              <w:rPr>
                <w:rStyle w:val="VerbatimChar"/>
              </w:rPr>
              <w:t xml:space="preserve">02_community_analysis.R</w:t>
            </w:r>
          </w:p>
        </w:tc>
      </w:tr>
      <w:tr>
        <w:tc>
          <w:tcPr/>
          <w:p>
            <w:pPr>
              <w:pStyle w:val="Compact"/>
            </w:pPr>
            <w:r>
              <w:rPr>
                <w:rStyle w:val="VerbatimChar"/>
              </w:rPr>
              <w:t xml:space="preserve">permdisp_results.csv</w:t>
            </w:r>
          </w:p>
        </w:tc>
        <w:tc>
          <w:tcPr/>
          <w:p>
            <w:pPr>
              <w:pStyle w:val="Compact"/>
            </w:pPr>
            <w:r>
              <w:t xml:space="preserve">PERMDISP homogeneity of dispersions</w:t>
            </w:r>
          </w:p>
        </w:tc>
        <w:tc>
          <w:tcPr/>
          <w:p>
            <w:pPr>
              <w:pStyle w:val="Compact"/>
            </w:pPr>
            <w:r>
              <w:rPr>
                <w:rStyle w:val="VerbatimChar"/>
              </w:rPr>
              <w:t xml:space="preserve">02_community_analysis.R</w:t>
            </w:r>
          </w:p>
        </w:tc>
      </w:tr>
      <w:tr>
        <w:tc>
          <w:tcPr/>
          <w:p>
            <w:pPr>
              <w:pStyle w:val="Compact"/>
            </w:pPr>
            <w:r>
              <w:rPr>
                <w:rStyle w:val="VerbatimChar"/>
              </w:rPr>
              <w:t xml:space="preserve">permanova_pairwise.csv</w:t>
            </w:r>
          </w:p>
        </w:tc>
        <w:tc>
          <w:tcPr/>
          <w:p>
            <w:pPr>
              <w:pStyle w:val="Compact"/>
            </w:pPr>
            <w:r>
              <w:t xml:space="preserve">Pairwise site comparisons (Bonferroni)</w:t>
            </w:r>
          </w:p>
        </w:tc>
        <w:tc>
          <w:tcPr/>
          <w:p>
            <w:pPr>
              <w:pStyle w:val="Compact"/>
            </w:pPr>
            <w:r>
              <w:rPr>
                <w:rStyle w:val="VerbatimChar"/>
              </w:rPr>
              <w:t xml:space="preserve">02_community_analysis.R</w:t>
            </w:r>
          </w:p>
        </w:tc>
      </w:tr>
      <w:tr>
        <w:tc>
          <w:tcPr/>
          <w:p>
            <w:pPr>
              <w:pStyle w:val="Compact"/>
            </w:pPr>
            <w:r>
              <w:rPr>
                <w:rStyle w:val="VerbatimChar"/>
              </w:rPr>
              <w:t xml:space="preserve">permanova_metric_sensitivity.csv</w:t>
            </w:r>
          </w:p>
        </w:tc>
        <w:tc>
          <w:tcPr/>
          <w:p>
            <w:pPr>
              <w:pStyle w:val="Compact"/>
            </w:pPr>
            <w:r>
              <w:t xml:space="preserve">5-metric PERMANOVA robustness</w:t>
            </w:r>
          </w:p>
        </w:tc>
        <w:tc>
          <w:tcPr/>
          <w:p>
            <w:pPr>
              <w:pStyle w:val="Compact"/>
            </w:pPr>
            <w:r>
              <w:rPr>
                <w:rStyle w:val="VerbatimChar"/>
              </w:rPr>
              <w:t xml:space="preserve">02_community_analysis.R</w:t>
            </w:r>
          </w:p>
        </w:tc>
      </w:tr>
      <w:tr>
        <w:tc>
          <w:tcPr/>
          <w:p>
            <w:pPr>
              <w:pStyle w:val="Compact"/>
            </w:pPr>
            <w:r>
              <w:rPr>
                <w:rStyle w:val="VerbatimChar"/>
              </w:rPr>
              <w:t xml:space="preserve">permanova_subsampling_summary.csv</w:t>
            </w:r>
          </w:p>
        </w:tc>
        <w:tc>
          <w:tcPr/>
          <w:p>
            <w:pPr>
              <w:pStyle w:val="Compact"/>
            </w:pPr>
            <w:r>
              <w:t xml:space="preserve">500-iteration balanced subsampling</w:t>
            </w:r>
          </w:p>
        </w:tc>
        <w:tc>
          <w:tcPr/>
          <w:p>
            <w:pPr>
              <w:pStyle w:val="Compact"/>
            </w:pPr>
            <w:r>
              <w:rPr>
                <w:rStyle w:val="VerbatimChar"/>
              </w:rPr>
              <w:t xml:space="preserve">02_community_analysis.R</w:t>
            </w:r>
          </w:p>
        </w:tc>
      </w:tr>
      <w:tr>
        <w:tc>
          <w:tcPr/>
          <w:p>
            <w:pPr>
              <w:pStyle w:val="Compact"/>
            </w:pPr>
            <w:r>
              <w:rPr>
                <w:rStyle w:val="VerbatimChar"/>
              </w:rPr>
              <w:t xml:space="preserve">dbrda_variance_partitioning.csv</w:t>
            </w:r>
          </w:p>
        </w:tc>
        <w:tc>
          <w:tcPr/>
          <w:p>
            <w:pPr>
              <w:pStyle w:val="Compact"/>
            </w:pPr>
            <w:r>
              <w:t xml:space="preserve">db-RDA variance partitioning (volume/site)</w:t>
            </w:r>
          </w:p>
        </w:tc>
        <w:tc>
          <w:tcPr/>
          <w:p>
            <w:pPr>
              <w:pStyle w:val="Compact"/>
            </w:pPr>
            <w:r>
              <w:rPr>
                <w:rStyle w:val="VerbatimChar"/>
              </w:rPr>
              <w:t xml:space="preserve">02_community_analysis.R</w:t>
            </w:r>
          </w:p>
        </w:tc>
      </w:tr>
      <w:tr>
        <w:tc>
          <w:tcPr/>
          <w:p>
            <w:pPr>
              <w:pStyle w:val="Compact"/>
            </w:pPr>
            <w:r>
              <w:rPr>
                <w:rStyle w:val="VerbatimChar"/>
              </w:rPr>
              <w:t xml:space="preserve">dbrda_species_scores.csv</w:t>
            </w:r>
          </w:p>
        </w:tc>
        <w:tc>
          <w:tcPr/>
          <w:p>
            <w:pPr>
              <w:pStyle w:val="Compact"/>
            </w:pPr>
            <w:r>
              <w:t xml:space="preserve">Top 15 species loadings on constrained axis</w:t>
            </w:r>
          </w:p>
        </w:tc>
        <w:tc>
          <w:tcPr/>
          <w:p>
            <w:pPr>
              <w:pStyle w:val="Compact"/>
            </w:pPr>
            <w:r>
              <w:rPr>
                <w:rStyle w:val="VerbatimChar"/>
              </w:rPr>
              <w:t xml:space="preserve">02_community_analysis.R</w:t>
            </w:r>
          </w:p>
        </w:tc>
      </w:tr>
      <w:tr>
        <w:tc>
          <w:tcPr/>
          <w:p>
            <w:pPr>
              <w:pStyle w:val="Compact"/>
            </w:pPr>
            <w:r>
              <w:rPr>
                <w:rStyle w:val="VerbatimChar"/>
              </w:rPr>
              <w:t xml:space="preserve">dbrda_rarefied.csv</w:t>
            </w:r>
          </w:p>
        </w:tc>
        <w:tc>
          <w:tcPr/>
          <w:p>
            <w:pPr>
              <w:pStyle w:val="Compact"/>
            </w:pPr>
            <w:r>
              <w:t xml:space="preserve">Rarefied db-RDA robustness check</w:t>
            </w:r>
          </w:p>
        </w:tc>
        <w:tc>
          <w:tcPr/>
          <w:p>
            <w:pPr>
              <w:pStyle w:val="Compact"/>
            </w:pPr>
            <w:r>
              <w:rPr>
                <w:rStyle w:val="VerbatimChar"/>
              </w:rPr>
              <w:t xml:space="preserve">02_community_analysis.R</w:t>
            </w:r>
          </w:p>
        </w:tc>
      </w:tr>
      <w:tr>
        <w:tc>
          <w:tcPr/>
          <w:p>
            <w:pPr>
              <w:pStyle w:val="Compact"/>
            </w:pPr>
            <w:r>
              <w:rPr>
                <w:rStyle w:val="VerbatimChar"/>
              </w:rPr>
              <w:t xml:space="preserve">nestedness_nodf.csv</w:t>
            </w:r>
          </w:p>
        </w:tc>
        <w:tc>
          <w:tcPr/>
          <w:p>
            <w:pPr>
              <w:pStyle w:val="Compact"/>
            </w:pPr>
            <w:r>
              <w:t xml:space="preserve">NODF nestedness test (z-score, p-value)</w:t>
            </w:r>
          </w:p>
        </w:tc>
        <w:tc>
          <w:tcPr/>
          <w:p>
            <w:pPr>
              <w:pStyle w:val="Compact"/>
            </w:pPr>
            <w:r>
              <w:rPr>
                <w:rStyle w:val="VerbatimChar"/>
              </w:rPr>
              <w:t xml:space="preserve">02_community_analysis.R</w:t>
            </w:r>
          </w:p>
        </w:tc>
      </w:tr>
      <w:tr>
        <w:tc>
          <w:tcPr/>
          <w:p>
            <w:pPr>
              <w:pStyle w:val="Compact"/>
            </w:pPr>
            <w:r>
              <w:rPr>
                <w:rStyle w:val="VerbatimChar"/>
              </w:rPr>
              <w:t xml:space="preserve">composition_divergence_stats.csv</w:t>
            </w:r>
          </w:p>
        </w:tc>
        <w:tc>
          <w:tcPr/>
          <w:p>
            <w:pPr>
              <w:pStyle w:val="Compact"/>
            </w:pPr>
            <w:r>
              <w:t xml:space="preserve">PERMDISP by size class (raw + rarefied)</w:t>
            </w:r>
          </w:p>
        </w:tc>
        <w:tc>
          <w:tcPr/>
          <w:p>
            <w:pPr>
              <w:pStyle w:val="Compact"/>
            </w:pPr>
            <w:r>
              <w:rPr>
                <w:rStyle w:val="VerbatimChar"/>
              </w:rPr>
              <w:t xml:space="preserve">02_community_analysis.R</w:t>
            </w:r>
          </w:p>
        </w:tc>
      </w:tr>
      <w:tr>
        <w:tc>
          <w:tcPr/>
          <w:p>
            <w:pPr>
              <w:pStyle w:val="Compact"/>
            </w:pPr>
            <w:r>
              <w:rPr>
                <w:rStyle w:val="VerbatimChar"/>
              </w:rPr>
              <w:t xml:space="preserve">density_dilution.csv</w:t>
            </w:r>
          </w:p>
        </w:tc>
        <w:tc>
          <w:tcPr/>
          <w:p>
            <w:pPr>
              <w:pStyle w:val="Compact"/>
            </w:pPr>
            <w:r>
              <w:t xml:space="preserve">Per-capita density slope vs. volume</w:t>
            </w:r>
          </w:p>
        </w:tc>
        <w:tc>
          <w:tcPr/>
          <w:p>
            <w:pPr>
              <w:pStyle w:val="Compact"/>
            </w:pPr>
            <w:r>
              <w:rPr>
                <w:rStyle w:val="VerbatimChar"/>
              </w:rPr>
              <w:t xml:space="preserve">05_species_scaling_analysis.R</w:t>
            </w:r>
          </w:p>
        </w:tc>
      </w:tr>
      <w:tr>
        <w:tc>
          <w:tcPr/>
          <w:p>
            <w:pPr>
              <w:pStyle w:val="Compact"/>
            </w:pPr>
            <w:r>
              <w:rPr>
                <w:rStyle w:val="VerbatimChar"/>
              </w:rPr>
              <w:t xml:space="preserve">occurrence_scaling_results.csv</w:t>
            </w:r>
          </w:p>
        </w:tc>
        <w:tc>
          <w:tcPr/>
          <w:p>
            <w:pPr>
              <w:pStyle w:val="Compact"/>
            </w:pPr>
            <w:r>
              <w:t xml:space="preserve">Species occurrence logistic GLM results</w:t>
            </w:r>
          </w:p>
        </w:tc>
        <w:tc>
          <w:tcPr/>
          <w:p>
            <w:pPr>
              <w:pStyle w:val="Compact"/>
            </w:pPr>
            <w:r>
              <w:rPr>
                <w:rStyle w:val="VerbatimChar"/>
              </w:rPr>
              <w:t xml:space="preserve">05_species_scaling_analysis.R</w:t>
            </w:r>
          </w:p>
        </w:tc>
      </w:tr>
      <w:tr>
        <w:tc>
          <w:tcPr/>
          <w:p>
            <w:pPr>
              <w:pStyle w:val="Compact"/>
            </w:pPr>
            <w:r>
              <w:rPr>
                <w:rStyle w:val="VerbatimChar"/>
              </w:rPr>
              <w:t xml:space="preserve">occurrence_summary.csv</w:t>
            </w:r>
          </w:p>
        </w:tc>
        <w:tc>
          <w:tcPr/>
          <w:p>
            <w:pPr>
              <w:pStyle w:val="Compact"/>
            </w:pPr>
            <w:r>
              <w:t xml:space="preserve">FDR summary: n significant/positive/negative</w:t>
            </w:r>
          </w:p>
        </w:tc>
        <w:tc>
          <w:tcPr/>
          <w:p>
            <w:pPr>
              <w:pStyle w:val="Compact"/>
            </w:pPr>
            <w:r>
              <w:rPr>
                <w:rStyle w:val="VerbatimChar"/>
              </w:rPr>
              <w:t xml:space="preserve">05_species_scaling_analysis.R</w:t>
            </w:r>
          </w:p>
        </w:tc>
      </w:tr>
      <w:tr>
        <w:tc>
          <w:tcPr/>
          <w:p>
            <w:pPr>
              <w:pStyle w:val="Compact"/>
            </w:pPr>
            <w:r>
              <w:rPr>
                <w:rStyle w:val="VerbatimChar"/>
              </w:rPr>
              <w:t xml:space="preserve">scaling_interpretation_summary.csv</w:t>
            </w:r>
          </w:p>
        </w:tc>
        <w:tc>
          <w:tcPr/>
          <w:p>
            <w:pPr>
              <w:pStyle w:val="Compact"/>
            </w:pPr>
            <w:r>
              <w:t xml:space="preserve">Species scaling classification summary</w:t>
            </w:r>
          </w:p>
        </w:tc>
        <w:tc>
          <w:tcPr/>
          <w:p>
            <w:pPr>
              <w:pStyle w:val="Compact"/>
            </w:pPr>
            <w:r>
              <w:rPr>
                <w:rStyle w:val="VerbatimChar"/>
              </w:rPr>
              <w:t xml:space="preserve">05_species_scaling_analysis.R</w:t>
            </w:r>
          </w:p>
        </w:tc>
      </w:tr>
      <w:tr>
        <w:tc>
          <w:tcPr/>
          <w:p>
            <w:pPr>
              <w:pStyle w:val="Compact"/>
            </w:pPr>
            <w:r>
              <w:rPr>
                <w:rStyle w:val="VerbatimChar"/>
              </w:rPr>
              <w:t xml:space="preserve">power_analysis.csv</w:t>
            </w:r>
          </w:p>
        </w:tc>
        <w:tc>
          <w:tcPr/>
          <w:p>
            <w:pPr>
              <w:pStyle w:val="Compact"/>
            </w:pPr>
            <w:r>
              <w:t xml:space="preserve">Power analysis for condition and neighborhood models</w:t>
            </w:r>
          </w:p>
        </w:tc>
        <w:tc>
          <w:tcPr/>
          <w:p>
            <w:pPr>
              <w:pStyle w:val="Compact"/>
            </w:pPr>
            <w:r>
              <w:rPr>
                <w:rStyle w:val="VerbatimChar"/>
              </w:rPr>
              <w:t xml:space="preserve">09_cafi_condition_feedbacks.R</w:t>
            </w:r>
          </w:p>
        </w:tc>
      </w:tr>
      <w:tr>
        <w:tc>
          <w:tcPr/>
          <w:p>
            <w:pPr>
              <w:pStyle w:val="Compact"/>
            </w:pPr>
            <w:r>
              <w:rPr>
                <w:rStyle w:val="VerbatimChar"/>
              </w:rPr>
              <w:t xml:space="preserve">richness_abundance_correlation.csv</w:t>
            </w:r>
          </w:p>
        </w:tc>
        <w:tc>
          <w:tcPr/>
          <w:p>
            <w:pPr>
              <w:pStyle w:val="Compact"/>
            </w:pPr>
            <w:r>
              <w:t xml:space="preserve">Richness–abundance Pearson r</w:t>
            </w:r>
          </w:p>
        </w:tc>
        <w:tc>
          <w:tcPr/>
          <w:p>
            <w:pPr>
              <w:pStyle w:val="Compact"/>
            </w:pPr>
            <w:r>
              <w:rPr>
                <w:rStyle w:val="VerbatimChar"/>
              </w:rPr>
              <w:t xml:space="preserve">09_cafi_condition_feedbacks.R</w:t>
            </w:r>
          </w:p>
        </w:tc>
      </w:tr>
      <w:tr>
        <w:tc>
          <w:tcPr/>
          <w:p>
            <w:pPr>
              <w:pStyle w:val="Compact"/>
            </w:pPr>
            <w:r>
              <w:rPr>
                <w:rStyle w:val="VerbatimChar"/>
              </w:rPr>
              <w:t xml:space="preserve">rarefaction_depth_sensitivity.csv</w:t>
            </w:r>
          </w:p>
        </w:tc>
        <w:tc>
          <w:tcPr/>
          <w:p>
            <w:pPr>
              <w:pStyle w:val="Compact"/>
            </w:pPr>
            <w:r>
              <w:t xml:space="preserve">Richness → condition across rarefaction depths</w:t>
            </w:r>
          </w:p>
        </w:tc>
        <w:tc>
          <w:tcPr/>
          <w:p>
            <w:pPr>
              <w:pStyle w:val="Compact"/>
            </w:pPr>
            <w:r>
              <w:rPr>
                <w:rStyle w:val="VerbatimChar"/>
              </w:rPr>
              <w:t xml:space="preserve">09_cafi_condition_feedbacks.R</w:t>
            </w:r>
          </w:p>
        </w:tc>
      </w:tr>
      <w:tr>
        <w:tc>
          <w:tcPr/>
          <w:p>
            <w:pPr>
              <w:pStyle w:val="Compact"/>
            </w:pPr>
            <w:r>
              <w:rPr>
                <w:rStyle w:val="VerbatimChar"/>
              </w:rPr>
              <w:t xml:space="preserve">key_species_effects.csv</w:t>
            </w:r>
          </w:p>
        </w:tc>
        <w:tc>
          <w:tcPr/>
          <w:p>
            <w:pPr>
              <w:pStyle w:val="Compact"/>
            </w:pPr>
            <w:r>
              <w:t xml:space="preserve">Individual species → condition effects</w:t>
            </w:r>
          </w:p>
        </w:tc>
        <w:tc>
          <w:tcPr/>
          <w:p>
            <w:pPr>
              <w:pStyle w:val="Compact"/>
            </w:pPr>
            <w:r>
              <w:rPr>
                <w:rStyle w:val="VerbatimChar"/>
              </w:rPr>
              <w:t xml:space="preserve">09_cafi_condition_feedbacks.R</w:t>
            </w:r>
          </w:p>
        </w:tc>
      </w:tr>
      <w:tr>
        <w:tc>
          <w:tcPr/>
          <w:p>
            <w:pPr>
              <w:pStyle w:val="Compact"/>
            </w:pPr>
            <w:r>
              <w:rPr>
                <w:rStyle w:val="VerbatimChar"/>
              </w:rPr>
              <w:t xml:space="preserve">species_trait_correlations.csv</w:t>
            </w:r>
          </w:p>
        </w:tc>
        <w:tc>
          <w:tcPr/>
          <w:p>
            <w:pPr>
              <w:pStyle w:val="Compact"/>
            </w:pPr>
            <w:r>
              <w:t xml:space="preserve">Species × trait Pearson r matrix</w:t>
            </w:r>
          </w:p>
        </w:tc>
        <w:tc>
          <w:tcPr/>
          <w:p>
            <w:pPr>
              <w:pStyle w:val="Compact"/>
            </w:pPr>
            <w:r>
              <w:rPr>
                <w:rStyle w:val="VerbatimChar"/>
              </w:rPr>
              <w:t xml:space="preserve">09_cafi_condition_feedbacks.R</w:t>
            </w:r>
          </w:p>
        </w:tc>
      </w:tr>
      <w:tr>
        <w:tc>
          <w:tcPr/>
          <w:p>
            <w:pPr>
              <w:pStyle w:val="Compact"/>
            </w:pPr>
            <w:r>
              <w:rPr>
                <w:rStyle w:val="VerbatimChar"/>
              </w:rPr>
              <w:t xml:space="preserve">species_trait_heatmap_data.csv</w:t>
            </w:r>
          </w:p>
        </w:tc>
        <w:tc>
          <w:tcPr/>
          <w:p>
            <w:pPr>
              <w:pStyle w:val="Compact"/>
            </w:pPr>
            <w:r>
              <w:t xml:space="preserve">Species × trait β values + FDR p-values</w:t>
            </w:r>
          </w:p>
        </w:tc>
        <w:tc>
          <w:tcPr/>
          <w:p>
            <w:pPr>
              <w:pStyle w:val="Compact"/>
            </w:pPr>
            <w:r>
              <w:rPr>
                <w:rStyle w:val="VerbatimChar"/>
              </w:rPr>
              <w:t xml:space="preserve">09_cafi_condition_feedbacks.R</w:t>
            </w:r>
          </w:p>
        </w:tc>
      </w:tr>
      <w:tr>
        <w:tc>
          <w:tcPr/>
          <w:p>
            <w:pPr>
              <w:pStyle w:val="Compact"/>
            </w:pPr>
            <w:r>
              <w:rPr>
                <w:rStyle w:val="VerbatimChar"/>
              </w:rPr>
              <w:t xml:space="preserve">reverse_direction_models.csv</w:t>
            </w:r>
          </w:p>
        </w:tc>
        <w:tc>
          <w:tcPr/>
          <w:p>
            <w:pPr>
              <w:pStyle w:val="Compact"/>
            </w:pPr>
            <w:r>
              <w:t xml:space="preserve">Condition → CAFI reverse-direction tests</w:t>
            </w:r>
          </w:p>
        </w:tc>
        <w:tc>
          <w:tcPr/>
          <w:p>
            <w:pPr>
              <w:pStyle w:val="Compact"/>
            </w:pPr>
            <w:r>
              <w:rPr>
                <w:rStyle w:val="VerbatimChar"/>
              </w:rPr>
              <w:t xml:space="preserve">09_cafi_condition_feedbacks.R</w:t>
            </w:r>
          </w:p>
        </w:tc>
      </w:tr>
      <w:tr>
        <w:tc>
          <w:tcPr/>
          <w:p>
            <w:pPr>
              <w:pStyle w:val="Compact"/>
            </w:pPr>
            <w:r>
              <w:rPr>
                <w:rStyle w:val="VerbatimChar"/>
              </w:rPr>
              <w:t xml:space="preserve">size_dependent_cooccurrence.csv</w:t>
            </w:r>
          </w:p>
        </w:tc>
        <w:tc>
          <w:tcPr/>
          <w:p>
            <w:pPr>
              <w:pStyle w:val="Compact"/>
            </w:pPr>
            <w:r>
              <w:t xml:space="preserve">Co-occurrence SES by size class</w:t>
            </w:r>
          </w:p>
        </w:tc>
        <w:tc>
          <w:tcPr/>
          <w:p>
            <w:pPr>
              <w:pStyle w:val="Compact"/>
            </w:pPr>
            <w:r>
              <w:rPr>
                <w:rStyle w:val="VerbatimChar"/>
              </w:rPr>
              <w:t xml:space="preserve">06_cooccurrence_analysis.R</w:t>
            </w:r>
          </w:p>
        </w:tc>
      </w:tr>
      <w:tr>
        <w:tc>
          <w:tcPr/>
          <w:p>
            <w:pPr>
              <w:pStyle w:val="Compact"/>
            </w:pPr>
            <w:r>
              <w:rPr>
                <w:rStyle w:val="VerbatimChar"/>
              </w:rPr>
              <w:t xml:space="preserve">network_metrics.csv</w:t>
            </w:r>
          </w:p>
        </w:tc>
        <w:tc>
          <w:tcPr/>
          <w:p>
            <w:pPr>
              <w:pStyle w:val="Compact"/>
            </w:pPr>
            <w:r>
              <w:t xml:space="preserve">Network topology metrics</w:t>
            </w:r>
          </w:p>
        </w:tc>
        <w:tc>
          <w:tcPr/>
          <w:p>
            <w:pPr>
              <w:pStyle w:val="Compact"/>
            </w:pPr>
            <w:r>
              <w:rPr>
                <w:rStyle w:val="VerbatimChar"/>
              </w:rPr>
              <w:t xml:space="preserve">06_cooccurrence_analysis.R</w:t>
            </w:r>
          </w:p>
        </w:tc>
      </w:tr>
      <w:tr>
        <w:tc>
          <w:tcPr/>
          <w:p>
            <w:pPr>
              <w:pStyle w:val="Compact"/>
            </w:pPr>
            <w:r>
              <w:rPr>
                <w:rStyle w:val="VerbatimChar"/>
              </w:rPr>
              <w:t xml:space="preserve">hub_species.csv</w:t>
            </w:r>
          </w:p>
        </w:tc>
        <w:tc>
          <w:tcPr/>
          <w:p>
            <w:pPr>
              <w:pStyle w:val="Compact"/>
            </w:pPr>
            <w:r>
              <w:t xml:space="preserve">Hub species centrality scores</w:t>
            </w:r>
          </w:p>
        </w:tc>
        <w:tc>
          <w:tcPr/>
          <w:p>
            <w:pPr>
              <w:pStyle w:val="Compact"/>
            </w:pPr>
            <w:r>
              <w:rPr>
                <w:rStyle w:val="VerbatimChar"/>
              </w:rPr>
              <w:t xml:space="preserve">06_cooccurrence_analysis.R</w:t>
            </w:r>
          </w:p>
        </w:tc>
      </w:tr>
      <w:tr>
        <w:tc>
          <w:tcPr/>
          <w:p>
            <w:pPr>
              <w:pStyle w:val="Compact"/>
            </w:pPr>
            <w:r>
              <w:rPr>
                <w:rStyle w:val="VerbatimChar"/>
              </w:rPr>
              <w:t xml:space="preserve">taxonomic_group_scaling.csv</w:t>
            </w:r>
          </w:p>
        </w:tc>
        <w:tc>
          <w:tcPr/>
          <w:p>
            <w:pPr>
              <w:pStyle w:val="Compact"/>
            </w:pPr>
            <w:r>
              <w:t xml:space="preserve">Functional group scaling exponents</w:t>
            </w:r>
          </w:p>
        </w:tc>
        <w:tc>
          <w:tcPr/>
          <w:p>
            <w:pPr>
              <w:pStyle w:val="Compact"/>
            </w:pPr>
            <w:r>
              <w:rPr>
                <w:rStyle w:val="VerbatimChar"/>
              </w:rPr>
              <w:t xml:space="preserve">08_functional_groups.R</w:t>
            </w:r>
          </w:p>
        </w:tc>
      </w:tr>
    </w:tbl>
    <w:p>
      <w:r>
        <w:pict>
          <v:rect style="width:0;height:1.5pt" o:hralign="center" o:hrstd="t" o:hr="t"/>
        </w:pict>
      </w:r>
    </w:p>
    <w:bookmarkEnd w:id="159"/>
    <w:bookmarkEnd w:id="160"/>
    <w:bookmarkStart w:id="191" w:name="references-1"/>
    <w:p>
      <w:pPr>
        <w:pStyle w:val="Heading2"/>
      </w:pPr>
      <w:r>
        <w:t xml:space="preserve">References</w:t>
      </w:r>
    </w:p>
    <w:bookmarkStart w:id="190" w:name="refs"/>
    <w:bookmarkStart w:id="161" w:name="ref-Abele1976"/>
    <w:p>
      <w:pPr>
        <w:pStyle w:val="Bibliography"/>
      </w:pPr>
      <w:r>
        <w:t xml:space="preserve">Abele, L. G., &amp; Patton, W. K. (1976). The size of coral heads and the community biology of associated decapod crustaceans.</w:t>
      </w:r>
      <w:r>
        <w:t xml:space="preserve"> </w:t>
      </w:r>
      <w:r>
        <w:rPr>
          <w:i/>
          <w:iCs/>
        </w:rPr>
        <w:t xml:space="preserve">Journal of Biogeography</w:t>
      </w:r>
      <w:r>
        <w:t xml:space="preserve">,</w:t>
      </w:r>
      <w:r>
        <w:t xml:space="preserve"> </w:t>
      </w:r>
      <w:r>
        <w:rPr>
          <w:i/>
          <w:iCs/>
        </w:rPr>
        <w:t xml:space="preserve">3</w:t>
      </w:r>
      <w:r>
        <w:t xml:space="preserve">, 35–47.</w:t>
      </w:r>
      <w:r>
        <w:t xml:space="preserve"> </w:t>
      </w:r>
      <w:hyperlink r:id="rId57">
        <w:r>
          <w:rPr>
            <w:rStyle w:val="Hyperlink"/>
          </w:rPr>
          <w:t xml:space="preserve">https://doi.org/10.2307/3038097</w:t>
        </w:r>
      </w:hyperlink>
    </w:p>
    <w:bookmarkEnd w:id="161"/>
    <w:bookmarkStart w:id="162" w:name="ref-Anderson2005"/>
    <w:p>
      <w:pPr>
        <w:pStyle w:val="Bibliography"/>
      </w:pPr>
      <w:r>
        <w:t xml:space="preserve">Anderson, M. J., Diebel, C. E., Blom, W. M., &amp; Landers, T. J. (2005). Consistency and variation in kelp holdfast assemblages: Spatial patterns of biodiversity for the major phyla at different taxonomic resolutions.</w:t>
      </w:r>
      <w:r>
        <w:t xml:space="preserve"> </w:t>
      </w:r>
      <w:r>
        <w:rPr>
          <w:i/>
          <w:iCs/>
        </w:rPr>
        <w:t xml:space="preserve">Journal of Experimental Marine Biology and Ecology</w:t>
      </w:r>
      <w:r>
        <w:t xml:space="preserve">,</w:t>
      </w:r>
      <w:r>
        <w:t xml:space="preserve"> </w:t>
      </w:r>
      <w:r>
        <w:rPr>
          <w:i/>
          <w:iCs/>
        </w:rPr>
        <w:t xml:space="preserve">320</w:t>
      </w:r>
      <w:r>
        <w:t xml:space="preserve">, 35–56.</w:t>
      </w:r>
      <w:r>
        <w:t xml:space="preserve"> </w:t>
      </w:r>
      <w:hyperlink r:id="rId59">
        <w:r>
          <w:rPr>
            <w:rStyle w:val="Hyperlink"/>
          </w:rPr>
          <w:t xml:space="preserve">https://doi.org/10.1016/j.jembe.2004.12.023</w:t>
        </w:r>
      </w:hyperlink>
    </w:p>
    <w:bookmarkEnd w:id="162"/>
    <w:bookmarkStart w:id="163" w:name="ref-Bronstein1994"/>
    <w:p>
      <w:pPr>
        <w:pStyle w:val="Bibliography"/>
      </w:pPr>
      <w:r>
        <w:t xml:space="preserve">Bronstein, J. L. (1994). Conditional outcomes in mutualistic interactions.</w:t>
      </w:r>
      <w:r>
        <w:t xml:space="preserve"> </w:t>
      </w:r>
      <w:r>
        <w:rPr>
          <w:i/>
          <w:iCs/>
        </w:rPr>
        <w:t xml:space="preserve">Trends in Ecology &amp; Evolution</w:t>
      </w:r>
      <w:r>
        <w:t xml:space="preserve">,</w:t>
      </w:r>
      <w:r>
        <w:t xml:space="preserve"> </w:t>
      </w:r>
      <w:r>
        <w:rPr>
          <w:i/>
          <w:iCs/>
        </w:rPr>
        <w:t xml:space="preserve">9</w:t>
      </w:r>
      <w:r>
        <w:t xml:space="preserve">, 214–217.</w:t>
      </w:r>
      <w:r>
        <w:t xml:space="preserve"> </w:t>
      </w:r>
      <w:hyperlink r:id="rId61">
        <w:r>
          <w:rPr>
            <w:rStyle w:val="Hyperlink"/>
          </w:rPr>
          <w:t xml:space="preserve">https://doi.org/10.1016/0169-5347(94)90246-1</w:t>
        </w:r>
      </w:hyperlink>
    </w:p>
    <w:bookmarkEnd w:id="163"/>
    <w:bookmarkStart w:id="164" w:name="ref-Burgess2021"/>
    <w:p>
      <w:pPr>
        <w:pStyle w:val="Bibliography"/>
      </w:pPr>
      <w:r>
        <w:t xml:space="preserve">Burgess, S. C., Johnston, E. C., Wyatt, A. S. J., Leichter, J. J., &amp; Edmunds, P. J. (2021). Response diversity in corals: Hidden differences in bleaching mortality among cryptic</w:t>
      </w:r>
      <w:r>
        <w:t xml:space="preserve"> </w:t>
      </w:r>
      <w:r>
        <w:rPr>
          <w:i/>
          <w:iCs/>
        </w:rPr>
        <w:t xml:space="preserve">Pocillopora</w:t>
      </w:r>
      <w:r>
        <w:t xml:space="preserve"> </w:t>
      </w:r>
      <w:r>
        <w:t xml:space="preserve">species.</w:t>
      </w:r>
      <w:r>
        <w:t xml:space="preserve"> </w:t>
      </w:r>
      <w:r>
        <w:rPr>
          <w:i/>
          <w:iCs/>
        </w:rPr>
        <w:t xml:space="preserve">Ecology</w:t>
      </w:r>
      <w:r>
        <w:t xml:space="preserve">,</w:t>
      </w:r>
      <w:r>
        <w:t xml:space="preserve"> </w:t>
      </w:r>
      <w:r>
        <w:rPr>
          <w:i/>
          <w:iCs/>
        </w:rPr>
        <w:t xml:space="preserve">102</w:t>
      </w:r>
      <w:r>
        <w:t xml:space="preserve">(6), e03324.</w:t>
      </w:r>
      <w:r>
        <w:t xml:space="preserve"> </w:t>
      </w:r>
      <w:hyperlink r:id="rId63">
        <w:r>
          <w:rPr>
            <w:rStyle w:val="Hyperlink"/>
          </w:rPr>
          <w:t xml:space="preserve">https://doi.org/10.1002/ecy.3324</w:t>
        </w:r>
      </w:hyperlink>
    </w:p>
    <w:bookmarkEnd w:id="164"/>
    <w:bookmarkStart w:id="165" w:name="ref-Castro1978"/>
    <w:p>
      <w:pPr>
        <w:pStyle w:val="Bibliography"/>
      </w:pPr>
      <w:r>
        <w:t xml:space="preserve">Castro, P. (1978). Movements between coral colonies in</w:t>
      </w:r>
      <w:r>
        <w:t xml:space="preserve"> </w:t>
      </w:r>
      <w:r>
        <w:rPr>
          <w:i/>
          <w:iCs/>
        </w:rPr>
        <w:t xml:space="preserve">trapezia ferruginea</w:t>
      </w:r>
      <w:r>
        <w:t xml:space="preserve"> </w:t>
      </w:r>
      <w:r>
        <w:t xml:space="preserve">(</w:t>
      </w:r>
      <w:r>
        <w:t xml:space="preserve">Crustacea</w:t>
      </w:r>
      <w:r>
        <w:t xml:space="preserve">:</w:t>
      </w:r>
      <w:r>
        <w:t xml:space="preserve"> </w:t>
      </w:r>
      <w:r>
        <w:t xml:space="preserve">Brachyura</w:t>
      </w:r>
      <w:r>
        <w:t xml:space="preserve">), an obligate symbiont of scleractinian corals.</w:t>
      </w:r>
      <w:r>
        <w:t xml:space="preserve"> </w:t>
      </w:r>
      <w:r>
        <w:rPr>
          <w:i/>
          <w:iCs/>
        </w:rPr>
        <w:t xml:space="preserve">Marine Biology</w:t>
      </w:r>
      <w:r>
        <w:t xml:space="preserve">,</w:t>
      </w:r>
      <w:r>
        <w:t xml:space="preserve"> </w:t>
      </w:r>
      <w:r>
        <w:rPr>
          <w:i/>
          <w:iCs/>
        </w:rPr>
        <w:t xml:space="preserve">46</w:t>
      </w:r>
      <w:r>
        <w:t xml:space="preserve">, 237–245.</w:t>
      </w:r>
      <w:r>
        <w:t xml:space="preserve"> </w:t>
      </w:r>
      <w:hyperlink r:id="rId65">
        <w:r>
          <w:rPr>
            <w:rStyle w:val="Hyperlink"/>
          </w:rPr>
          <w:t xml:space="preserve">https://doi.org/10.1007/BF00390685</w:t>
        </w:r>
      </w:hyperlink>
    </w:p>
    <w:bookmarkEnd w:id="165"/>
    <w:bookmarkStart w:id="166" w:name="ref-Champely2020"/>
    <w:p>
      <w:pPr>
        <w:pStyle w:val="Bibliography"/>
      </w:pPr>
      <w:r>
        <w:t xml:space="preserve">Champely, S. (2020).</w:t>
      </w:r>
      <w:r>
        <w:t xml:space="preserve"> </w:t>
      </w:r>
      <w:r>
        <w:rPr>
          <w:i/>
          <w:iCs/>
        </w:rPr>
        <w:t xml:space="preserve">Pwr: Basic functions for power analysis</w:t>
      </w:r>
      <w:r>
        <w:t xml:space="preserve">.</w:t>
      </w:r>
      <w:r>
        <w:t xml:space="preserve"> </w:t>
      </w:r>
      <w:hyperlink r:id="rId67">
        <w:r>
          <w:rPr>
            <w:rStyle w:val="Hyperlink"/>
          </w:rPr>
          <w:t xml:space="preserve">https://CRAN.R-project.org/package=pwr</w:t>
        </w:r>
      </w:hyperlink>
    </w:p>
    <w:bookmarkEnd w:id="166"/>
    <w:bookmarkStart w:id="167" w:name="ref-Chase2011"/>
    <w:p>
      <w:pPr>
        <w:pStyle w:val="Bibliography"/>
      </w:pPr>
      <w:r>
        <w:t xml:space="preserve">Chase, J. M., Kraft, N. J. B., Smith, K. G., Vellend, M., &amp; Inouye, B. D. (2011). Using null models to disentangle variation in community dissimilarity from variation in</w:t>
      </w:r>
      <w:r>
        <w:t xml:space="preserve"> </w:t>
      </w:r>
      <m:oMath>
        <m:r>
          <m:t>α</m:t>
        </m:r>
      </m:oMath>
      <w:r>
        <w:t xml:space="preserve">-diversity.</w:t>
      </w:r>
      <w:r>
        <w:t xml:space="preserve"> </w:t>
      </w:r>
      <w:r>
        <w:rPr>
          <w:i/>
          <w:iCs/>
        </w:rPr>
        <w:t xml:space="preserve">Ecosphere</w:t>
      </w:r>
      <w:r>
        <w:t xml:space="preserve">,</w:t>
      </w:r>
      <w:r>
        <w:t xml:space="preserve"> </w:t>
      </w:r>
      <w:r>
        <w:rPr>
          <w:i/>
          <w:iCs/>
        </w:rPr>
        <w:t xml:space="preserve">2</w:t>
      </w:r>
      <w:r>
        <w:t xml:space="preserve">(2), art24.</w:t>
      </w:r>
      <w:r>
        <w:t xml:space="preserve"> </w:t>
      </w:r>
      <w:hyperlink r:id="rId69">
        <w:r>
          <w:rPr>
            <w:rStyle w:val="Hyperlink"/>
          </w:rPr>
          <w:t xml:space="preserve">https://doi.org/10.1890/ES10-00117.1</w:t>
        </w:r>
      </w:hyperlink>
    </w:p>
    <w:bookmarkEnd w:id="167"/>
    <w:bookmarkStart w:id="168" w:name="ref-Chase2018"/>
    <w:p>
      <w:pPr>
        <w:pStyle w:val="Bibliography"/>
      </w:pPr>
      <w:r>
        <w:t xml:space="preserve">Chase, T. J., Pratchett, M. S., Frank, G. E., &amp; Hoogenboom, M. O. (2018). Coral-dwelling fish moderate bleaching susceptibility of coral hosts.</w:t>
      </w:r>
      <w:r>
        <w:t xml:space="preserve"> </w:t>
      </w:r>
      <w:r>
        <w:rPr>
          <w:i/>
          <w:iCs/>
        </w:rPr>
        <w:t xml:space="preserve">PLoS ONE</w:t>
      </w:r>
      <w:r>
        <w:t xml:space="preserve">,</w:t>
      </w:r>
      <w:r>
        <w:t xml:space="preserve"> </w:t>
      </w:r>
      <w:r>
        <w:rPr>
          <w:i/>
          <w:iCs/>
        </w:rPr>
        <w:t xml:space="preserve">13</w:t>
      </w:r>
      <w:r>
        <w:t xml:space="preserve">, e0208545.</w:t>
      </w:r>
      <w:r>
        <w:t xml:space="preserve"> </w:t>
      </w:r>
      <w:hyperlink r:id="rId71">
        <w:r>
          <w:rPr>
            <w:rStyle w:val="Hyperlink"/>
          </w:rPr>
          <w:t xml:space="preserve">https://doi.org/10.1371/journal.pone.0208545</w:t>
        </w:r>
      </w:hyperlink>
    </w:p>
    <w:bookmarkEnd w:id="168"/>
    <w:bookmarkStart w:id="169" w:name="ref-Counsell2018"/>
    <w:p>
      <w:pPr>
        <w:pStyle w:val="Bibliography"/>
      </w:pPr>
      <w:r>
        <w:t xml:space="preserve">Counsell, C. W. W., Donahue, M. J., Edwards, K. F., Franklin, E. C., &amp; Hixon, M. A. (2018). Variation in coral-associated cryptofaunal communities across spatial scales and environmental gradients.</w:t>
      </w:r>
      <w:r>
        <w:t xml:space="preserve"> </w:t>
      </w:r>
      <w:r>
        <w:rPr>
          <w:i/>
          <w:iCs/>
        </w:rPr>
        <w:t xml:space="preserve">Coral Reefs</w:t>
      </w:r>
      <w:r>
        <w:t xml:space="preserve">,</w:t>
      </w:r>
      <w:r>
        <w:t xml:space="preserve"> </w:t>
      </w:r>
      <w:r>
        <w:rPr>
          <w:i/>
          <w:iCs/>
        </w:rPr>
        <w:t xml:space="preserve">37</w:t>
      </w:r>
      <w:r>
        <w:t xml:space="preserve">, 827–840.</w:t>
      </w:r>
      <w:r>
        <w:t xml:space="preserve"> </w:t>
      </w:r>
      <w:hyperlink r:id="rId73">
        <w:r>
          <w:rPr>
            <w:rStyle w:val="Hyperlink"/>
          </w:rPr>
          <w:t xml:space="preserve">https://doi.org/10.1007/s00338-018-1709-7</w:t>
        </w:r>
      </w:hyperlink>
    </w:p>
    <w:bookmarkEnd w:id="169"/>
    <w:bookmarkStart w:id="170" w:name="ref-FonsecaGanade1996"/>
    <w:p>
      <w:pPr>
        <w:pStyle w:val="Bibliography"/>
      </w:pPr>
      <w:r>
        <w:t xml:space="preserve">Fonseca, C. R., &amp; Ganade, G. (1996). Asymmetries, compartments and null interactions in an</w:t>
      </w:r>
      <w:r>
        <w:t xml:space="preserve"> </w:t>
      </w:r>
      <w:r>
        <w:t xml:space="preserve">Amazonian</w:t>
      </w:r>
      <w:r>
        <w:t xml:space="preserve"> </w:t>
      </w:r>
      <w:r>
        <w:t xml:space="preserve">ant-plant community.</w:t>
      </w:r>
      <w:r>
        <w:t xml:space="preserve"> </w:t>
      </w:r>
      <w:r>
        <w:rPr>
          <w:i/>
          <w:iCs/>
        </w:rPr>
        <w:t xml:space="preserve">Journal of Animal Ecology</w:t>
      </w:r>
      <w:r>
        <w:t xml:space="preserve">,</w:t>
      </w:r>
      <w:r>
        <w:t xml:space="preserve"> </w:t>
      </w:r>
      <w:r>
        <w:rPr>
          <w:i/>
          <w:iCs/>
        </w:rPr>
        <w:t xml:space="preserve">65</w:t>
      </w:r>
      <w:r>
        <w:t xml:space="preserve">, 339–347.</w:t>
      </w:r>
      <w:r>
        <w:t xml:space="preserve"> </w:t>
      </w:r>
      <w:hyperlink r:id="rId75">
        <w:r>
          <w:rPr>
            <w:rStyle w:val="Hyperlink"/>
          </w:rPr>
          <w:t xml:space="preserve">https://doi.org/10.2307/5880</w:t>
        </w:r>
      </w:hyperlink>
    </w:p>
    <w:bookmarkEnd w:id="170"/>
    <w:bookmarkStart w:id="171" w:name="ref-Glynn1983"/>
    <w:p>
      <w:pPr>
        <w:pStyle w:val="Bibliography"/>
      </w:pPr>
      <w:r>
        <w:t xml:space="preserve">Glynn, P. W. (1983). Increased survivorship in corals harboring crustacean symbionts.</w:t>
      </w:r>
      <w:r>
        <w:t xml:space="preserve"> </w:t>
      </w:r>
      <w:r>
        <w:rPr>
          <w:i/>
          <w:iCs/>
        </w:rPr>
        <w:t xml:space="preserve">Marine Biology Letters</w:t>
      </w:r>
      <w:r>
        <w:t xml:space="preserve">,</w:t>
      </w:r>
      <w:r>
        <w:t xml:space="preserve"> </w:t>
      </w:r>
      <w:r>
        <w:rPr>
          <w:i/>
          <w:iCs/>
        </w:rPr>
        <w:t xml:space="preserve">4</w:t>
      </w:r>
      <w:r>
        <w:t xml:space="preserve">, 105–111.</w:t>
      </w:r>
    </w:p>
    <w:bookmarkEnd w:id="171"/>
    <w:bookmarkStart w:id="172" w:name="ref-Haddad2015"/>
    <w:p>
      <w:pPr>
        <w:pStyle w:val="Bibliography"/>
      </w:pPr>
      <w: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w:t>
      </w:r>
      <w:r>
        <w:t xml:space="preserve"> </w:t>
      </w:r>
      <w:r>
        <w:t xml:space="preserve">Earth’s</w:t>
      </w:r>
      <w:r>
        <w:t xml:space="preserve"> </w:t>
      </w:r>
      <w:r>
        <w:t xml:space="preserve">ecosystems.</w:t>
      </w:r>
      <w:r>
        <w:t xml:space="preserve"> </w:t>
      </w:r>
      <w:r>
        <w:rPr>
          <w:i/>
          <w:iCs/>
        </w:rPr>
        <w:t xml:space="preserve">Science Advances</w:t>
      </w:r>
      <w:r>
        <w:t xml:space="preserve">,</w:t>
      </w:r>
      <w:r>
        <w:t xml:space="preserve"> </w:t>
      </w:r>
      <w:r>
        <w:rPr>
          <w:i/>
          <w:iCs/>
        </w:rPr>
        <w:t xml:space="preserve">1</w:t>
      </w:r>
      <w:r>
        <w:t xml:space="preserve">, e1500052.</w:t>
      </w:r>
      <w:r>
        <w:t xml:space="preserve"> </w:t>
      </w:r>
      <w:hyperlink r:id="rId78">
        <w:r>
          <w:rPr>
            <w:rStyle w:val="Hyperlink"/>
          </w:rPr>
          <w:t xml:space="preserve">https://doi.org/10.1126/sciadv.1500052</w:t>
        </w:r>
      </w:hyperlink>
    </w:p>
    <w:bookmarkEnd w:id="172"/>
    <w:bookmarkStart w:id="173" w:name="ref-Hamman2018"/>
    <w:p>
      <w:pPr>
        <w:pStyle w:val="Bibliography"/>
      </w:pPr>
      <w:r>
        <w:t xml:space="preserve">Hamman, E. A., McKinley, S. A., Stier, A. C., &amp; Osenberg, C. W. (2018). Landscape configuration drives persistent spatial patterns of occupant distributions.</w:t>
      </w:r>
      <w:r>
        <w:t xml:space="preserve"> </w:t>
      </w:r>
      <w:r>
        <w:rPr>
          <w:i/>
          <w:iCs/>
        </w:rPr>
        <w:t xml:space="preserve">Theoretical Ecology</w:t>
      </w:r>
      <w:r>
        <w:t xml:space="preserve">,</w:t>
      </w:r>
      <w:r>
        <w:t xml:space="preserve"> </w:t>
      </w:r>
      <w:r>
        <w:rPr>
          <w:i/>
          <w:iCs/>
        </w:rPr>
        <w:t xml:space="preserve">11</w:t>
      </w:r>
      <w:r>
        <w:t xml:space="preserve">, 111–127.</w:t>
      </w:r>
      <w:r>
        <w:t xml:space="preserve"> </w:t>
      </w:r>
      <w:hyperlink r:id="rId80">
        <w:r>
          <w:rPr>
            <w:rStyle w:val="Hyperlink"/>
          </w:rPr>
          <w:t xml:space="preserve">https://doi.org/10.1007/s12080-017-0352-1</w:t>
        </w:r>
      </w:hyperlink>
    </w:p>
    <w:bookmarkEnd w:id="173"/>
    <w:bookmarkStart w:id="174" w:name="ref-Hector1999"/>
    <w:p>
      <w:pPr>
        <w:pStyle w:val="Bibliography"/>
      </w:pPr>
      <w:r>
        <w:t xml:space="preserve">Hector, A., Schmid, B., Beierkuhnlein, C., Caldeira, M. C., Diemer, M., Dimitrakopoulos, P. G., Finn, J. A., Freitas, H., Giller, P. S., Good, J., Harris, R., Högberg, P., Huss-Danell, K., Joshi, J., Jumpponen, A., Körner, C., Leadley, P. W., Loreau, M., Minns, A., … Lawton, J. H. (1999). Plant diversity and productivity experiments in</w:t>
      </w:r>
      <w:r>
        <w:t xml:space="preserve"> </w:t>
      </w:r>
      <w:r>
        <w:t xml:space="preserve">European</w:t>
      </w:r>
      <w:r>
        <w:t xml:space="preserve"> </w:t>
      </w:r>
      <w:r>
        <w:t xml:space="preserve">grasslands.</w:t>
      </w:r>
      <w:r>
        <w:t xml:space="preserve"> </w:t>
      </w:r>
      <w:r>
        <w:rPr>
          <w:i/>
          <w:iCs/>
        </w:rPr>
        <w:t xml:space="preserve">Science</w:t>
      </w:r>
      <w:r>
        <w:t xml:space="preserve">,</w:t>
      </w:r>
      <w:r>
        <w:t xml:space="preserve"> </w:t>
      </w:r>
      <w:r>
        <w:rPr>
          <w:i/>
          <w:iCs/>
        </w:rPr>
        <w:t xml:space="preserve">286</w:t>
      </w:r>
      <w:r>
        <w:t xml:space="preserve">, 1123–1127.</w:t>
      </w:r>
      <w:r>
        <w:t xml:space="preserve"> </w:t>
      </w:r>
      <w:hyperlink r:id="rId82">
        <w:r>
          <w:rPr>
            <w:rStyle w:val="Hyperlink"/>
          </w:rPr>
          <w:t xml:space="preserve">https://doi.org/10.1126/science.286.5442.1123</w:t>
        </w:r>
      </w:hyperlink>
    </w:p>
    <w:bookmarkEnd w:id="174"/>
    <w:bookmarkStart w:id="175" w:name="ref-Holbrook2008"/>
    <w:p>
      <w:pPr>
        <w:pStyle w:val="Bibliography"/>
      </w:pPr>
      <w:r>
        <w:t xml:space="preserve">Holbrook, S. J., Brooks, A. J., Schmitt, R. J., &amp; Stewart, H. L. (2008). Effects of sheltering fish on growth of their host corals.</w:t>
      </w:r>
      <w:r>
        <w:t xml:space="preserve"> </w:t>
      </w:r>
      <w:r>
        <w:rPr>
          <w:i/>
          <w:iCs/>
        </w:rPr>
        <w:t xml:space="preserve">Marine Biology</w:t>
      </w:r>
      <w:r>
        <w:t xml:space="preserve">,</w:t>
      </w:r>
      <w:r>
        <w:t xml:space="preserve"> </w:t>
      </w:r>
      <w:r>
        <w:rPr>
          <w:i/>
          <w:iCs/>
        </w:rPr>
        <w:t xml:space="preserve">155</w:t>
      </w:r>
      <w:r>
        <w:t xml:space="preserve">, 521–530.</w:t>
      </w:r>
      <w:r>
        <w:t xml:space="preserve"> </w:t>
      </w:r>
      <w:hyperlink r:id="rId84">
        <w:r>
          <w:rPr>
            <w:rStyle w:val="Hyperlink"/>
          </w:rPr>
          <w:t xml:space="preserve">https://doi.org/10.1007/s00227-008-1051-7</w:t>
        </w:r>
      </w:hyperlink>
    </w:p>
    <w:bookmarkEnd w:id="175"/>
    <w:bookmarkStart w:id="176" w:name="ref-HuberColes1986"/>
    <w:p>
      <w:pPr>
        <w:pStyle w:val="Bibliography"/>
      </w:pPr>
      <w:r>
        <w:t xml:space="preserve">Huber, M. E., &amp; Coles, S. L. (1986). Resource utilization and competition among the five</w:t>
      </w:r>
      <w:r>
        <w:t xml:space="preserve"> </w:t>
      </w:r>
      <w:r>
        <w:t xml:space="preserve">Hawaiian</w:t>
      </w:r>
      <w:r>
        <w:t xml:space="preserve"> </w:t>
      </w:r>
      <w:r>
        <w:t xml:space="preserve">species of</w:t>
      </w:r>
      <w:r>
        <w:t xml:space="preserve"> </w:t>
      </w:r>
      <w:r>
        <w:rPr>
          <w:i/>
          <w:iCs/>
        </w:rPr>
        <w:t xml:space="preserve">trapezia</w:t>
      </w:r>
      <w:r>
        <w:t xml:space="preserve"> </w:t>
      </w:r>
      <w:r>
        <w:t xml:space="preserve">(</w:t>
      </w:r>
      <w:r>
        <w:t xml:space="preserve">Crustacea</w:t>
      </w:r>
      <w:r>
        <w:t xml:space="preserve">,</w:t>
      </w:r>
      <w:r>
        <w:t xml:space="preserve"> </w:t>
      </w:r>
      <w:r>
        <w:t xml:space="preserve">Brachyura</w:t>
      </w:r>
      <w:r>
        <w:t xml:space="preserve">).</w:t>
      </w:r>
      <w:r>
        <w:t xml:space="preserve"> </w:t>
      </w:r>
      <w:r>
        <w:rPr>
          <w:i/>
          <w:iCs/>
        </w:rPr>
        <w:t xml:space="preserve">Marine Ecology Progress Series</w:t>
      </w:r>
      <w:r>
        <w:t xml:space="preserve">,</w:t>
      </w:r>
      <w:r>
        <w:t xml:space="preserve"> </w:t>
      </w:r>
      <w:r>
        <w:rPr>
          <w:i/>
          <w:iCs/>
        </w:rPr>
        <w:t xml:space="preserve">30</w:t>
      </w:r>
      <w:r>
        <w:t xml:space="preserve">, 21–31.</w:t>
      </w:r>
      <w:r>
        <w:t xml:space="preserve"> </w:t>
      </w:r>
      <w:hyperlink r:id="rId86">
        <w:r>
          <w:rPr>
            <w:rStyle w:val="Hyperlink"/>
          </w:rPr>
          <w:t xml:space="preserve">https://doi.org/10.3354/meps030021</w:t>
        </w:r>
      </w:hyperlink>
    </w:p>
    <w:bookmarkEnd w:id="176"/>
    <w:bookmarkStart w:id="177" w:name="ref-JohnstonCunningBurgess2022"/>
    <w:p>
      <w:pPr>
        <w:pStyle w:val="Bibliography"/>
      </w:pPr>
      <w:r>
        <w:t xml:space="preserve">Johnston, E. C., Cunning, R., &amp; Burgess, S. C. (2022). A genomic and morphological comparison of shallow and mesophotic coral reef colonies in</w:t>
      </w:r>
      <w:r>
        <w:t xml:space="preserve"> </w:t>
      </w:r>
      <w:r>
        <w:t xml:space="preserve">Moorea</w:t>
      </w:r>
      <w:r>
        <w:t xml:space="preserve">,</w:t>
      </w:r>
      <w:r>
        <w:t xml:space="preserve"> </w:t>
      </w:r>
      <w:r>
        <w:t xml:space="preserve">French Polynesia</w:t>
      </w:r>
      <w:r>
        <w:t xml:space="preserve">.</w:t>
      </w:r>
      <w:r>
        <w:t xml:space="preserve"> </w:t>
      </w:r>
      <w:r>
        <w:rPr>
          <w:i/>
          <w:iCs/>
        </w:rPr>
        <w:t xml:space="preserve">Molecular Ecology</w:t>
      </w:r>
      <w:r>
        <w:t xml:space="preserve">,</w:t>
      </w:r>
      <w:r>
        <w:t xml:space="preserve"> </w:t>
      </w:r>
      <w:r>
        <w:rPr>
          <w:i/>
          <w:iCs/>
        </w:rPr>
        <w:t xml:space="preserve">31</w:t>
      </w:r>
      <w:r>
        <w:t xml:space="preserve">, 4425–4441.</w:t>
      </w:r>
      <w:r>
        <w:t xml:space="preserve"> </w:t>
      </w:r>
      <w:hyperlink r:id="rId88">
        <w:r>
          <w:rPr>
            <w:rStyle w:val="Hyperlink"/>
          </w:rPr>
          <w:t xml:space="preserve">https://doi.org/10.1111/mec.16556</w:t>
        </w:r>
      </w:hyperlink>
    </w:p>
    <w:bookmarkEnd w:id="177"/>
    <w:bookmarkStart w:id="178" w:name="ref-Kuris2008"/>
    <w:p>
      <w:pPr>
        <w:pStyle w:val="Bibliography"/>
      </w:pPr>
      <w:r>
        <w:t xml:space="preserve">Kuris, A. M., Hechinger, R. F., Shaw, J. C., Whitney, K. L., Aguirre-Macedo, L., Boch, C. A., Dobson, A. P., Dunham, E. J., Fredensborg, B. L., Huspeni, T. C., Lorda, J., Mababa, L., Mancini, F. T., Mora, A. B., Pickering, M., Talhouk, N. L., Torchin, M. E., &amp; Lafferty, K. D. (2008). Ecosystem energetic implications of parasite and free-living biomass in three estuaries.</w:t>
      </w:r>
      <w:r>
        <w:t xml:space="preserve"> </w:t>
      </w:r>
      <w:r>
        <w:rPr>
          <w:i/>
          <w:iCs/>
        </w:rPr>
        <w:t xml:space="preserve">Nature</w:t>
      </w:r>
      <w:r>
        <w:t xml:space="preserve">,</w:t>
      </w:r>
      <w:r>
        <w:t xml:space="preserve"> </w:t>
      </w:r>
      <w:r>
        <w:rPr>
          <w:i/>
          <w:iCs/>
        </w:rPr>
        <w:t xml:space="preserve">454</w:t>
      </w:r>
      <w:r>
        <w:t xml:space="preserve">, 515–518.</w:t>
      </w:r>
      <w:r>
        <w:t xml:space="preserve"> </w:t>
      </w:r>
      <w:hyperlink r:id="rId90">
        <w:r>
          <w:rPr>
            <w:rStyle w:val="Hyperlink"/>
          </w:rPr>
          <w:t xml:space="preserve">https://doi.org/10.1038/nature06970</w:t>
        </w:r>
      </w:hyperlink>
    </w:p>
    <w:bookmarkEnd w:id="178"/>
    <w:bookmarkStart w:id="179" w:name="ref-Lawton1983"/>
    <w:p>
      <w:pPr>
        <w:pStyle w:val="Bibliography"/>
      </w:pPr>
      <w:r>
        <w:t xml:space="preserve">Lawton, J. H. (1983). Plant architecture and the diversity of phytophagous insects.</w:t>
      </w:r>
      <w:r>
        <w:t xml:space="preserve"> </w:t>
      </w:r>
      <w:r>
        <w:rPr>
          <w:i/>
          <w:iCs/>
        </w:rPr>
        <w:t xml:space="preserve">Annual Review of Entomology</w:t>
      </w:r>
      <w:r>
        <w:t xml:space="preserve">,</w:t>
      </w:r>
      <w:r>
        <w:t xml:space="preserve"> </w:t>
      </w:r>
      <w:r>
        <w:rPr>
          <w:i/>
          <w:iCs/>
        </w:rPr>
        <w:t xml:space="preserve">28</w:t>
      </w:r>
      <w:r>
        <w:t xml:space="preserve">, 23–39.</w:t>
      </w:r>
      <w:r>
        <w:t xml:space="preserve"> </w:t>
      </w:r>
      <w:hyperlink r:id="rId92">
        <w:r>
          <w:rPr>
            <w:rStyle w:val="Hyperlink"/>
          </w:rPr>
          <w:t xml:space="preserve">https://doi.org/10.1146/annurev.en.28.010183.000323</w:t>
        </w:r>
      </w:hyperlink>
    </w:p>
    <w:bookmarkEnd w:id="179"/>
    <w:bookmarkStart w:id="180" w:name="ref-MacArthurWilson1967"/>
    <w:p>
      <w:pPr>
        <w:pStyle w:val="Bibliography"/>
      </w:pPr>
      <w:r>
        <w:t xml:space="preserve">MacArthur, R. H., &amp; Wilson, E. O. (1967).</w:t>
      </w:r>
      <w:r>
        <w:t xml:space="preserve"> </w:t>
      </w:r>
      <w:r>
        <w:rPr>
          <w:i/>
          <w:iCs/>
        </w:rPr>
        <w:t xml:space="preserve">The theory of island biogeography</w:t>
      </w:r>
      <w:r>
        <w:t xml:space="preserve">. Princeton University Press.</w:t>
      </w:r>
    </w:p>
    <w:bookmarkEnd w:id="180"/>
    <w:bookmarkStart w:id="181" w:name="ref-McKeon2012"/>
    <w:p>
      <w:pPr>
        <w:pStyle w:val="Bibliography"/>
      </w:pPr>
      <w:r>
        <w:t xml:space="preserve">McKeon, C. S., Stier, A. C., McIlroy, S. E., &amp; Bolker, B. M. (2012). Multiple defender effects: Synergistic coral defense by mutualist crustaceans.</w:t>
      </w:r>
      <w:r>
        <w:t xml:space="preserve"> </w:t>
      </w:r>
      <w:r>
        <w:rPr>
          <w:i/>
          <w:iCs/>
        </w:rPr>
        <w:t xml:space="preserve">Oecologia</w:t>
      </w:r>
      <w:r>
        <w:t xml:space="preserve">,</w:t>
      </w:r>
      <w:r>
        <w:t xml:space="preserve"> </w:t>
      </w:r>
      <w:r>
        <w:rPr>
          <w:i/>
          <w:iCs/>
        </w:rPr>
        <w:t xml:space="preserve">169</w:t>
      </w:r>
      <w:r>
        <w:t xml:space="preserve">, 1095–1103.</w:t>
      </w:r>
      <w:r>
        <w:t xml:space="preserve"> </w:t>
      </w:r>
      <w:hyperlink r:id="rId95">
        <w:r>
          <w:rPr>
            <w:rStyle w:val="Hyperlink"/>
          </w:rPr>
          <w:t xml:space="preserve">https://doi.org/10.1007/s00442-012-2275-2</w:t>
        </w:r>
      </w:hyperlink>
    </w:p>
    <w:bookmarkEnd w:id="181"/>
    <w:bookmarkStart w:id="182" w:name="ref-Otway2005"/>
    <w:p>
      <w:pPr>
        <w:pStyle w:val="Bibliography"/>
      </w:pPr>
      <w:r>
        <w:t xml:space="preserve">Otway, S. J., Hector, A., &amp; Lawton, J. H. (2005). Resource dilution effects on specialist insect herbivores in a grassland biodiversity experiment.</w:t>
      </w:r>
      <w:r>
        <w:t xml:space="preserve"> </w:t>
      </w:r>
      <w:r>
        <w:rPr>
          <w:i/>
          <w:iCs/>
        </w:rPr>
        <w:t xml:space="preserve">Journal of Animal Ecology</w:t>
      </w:r>
      <w:r>
        <w:t xml:space="preserve">,</w:t>
      </w:r>
      <w:r>
        <w:t xml:space="preserve"> </w:t>
      </w:r>
      <w:r>
        <w:rPr>
          <w:i/>
          <w:iCs/>
        </w:rPr>
        <w:t xml:space="preserve">74</w:t>
      </w:r>
      <w:r>
        <w:t xml:space="preserve">, 234–240.</w:t>
      </w:r>
      <w:r>
        <w:t xml:space="preserve"> </w:t>
      </w:r>
      <w:hyperlink r:id="rId97">
        <w:r>
          <w:rPr>
            <w:rStyle w:val="Hyperlink"/>
          </w:rPr>
          <w:t xml:space="preserve">https://doi.org/10.1111/j.1365-2656.2005.00913.x</w:t>
        </w:r>
      </w:hyperlink>
    </w:p>
    <w:bookmarkEnd w:id="182"/>
    <w:bookmarkStart w:id="183" w:name="ref-Schlinkert2015"/>
    <w:p>
      <w:pPr>
        <w:pStyle w:val="Bibliography"/>
      </w:pPr>
      <w:r>
        <w:t xml:space="preserve">Schlinkert, H., Westphal, C., Clough, Y., László, Z., Ludwig, M., &amp; Tscharntke, T. (2015). Plant size as determinant of species richness of herbivores, natural enemies and pollinators across 21</w:t>
      </w:r>
      <w:r>
        <w:t xml:space="preserve"> </w:t>
      </w:r>
      <w:r>
        <w:t xml:space="preserve">Brassicaceae</w:t>
      </w:r>
      <w:r>
        <w:t xml:space="preserve"> </w:t>
      </w:r>
      <w:r>
        <w:t xml:space="preserve">species.</w:t>
      </w:r>
      <w:r>
        <w:t xml:space="preserve"> </w:t>
      </w:r>
      <w:r>
        <w:rPr>
          <w:i/>
          <w:iCs/>
        </w:rPr>
        <w:t xml:space="preserve">PLoS ONE</w:t>
      </w:r>
      <w:r>
        <w:t xml:space="preserve">,</w:t>
      </w:r>
      <w:r>
        <w:t xml:space="preserve"> </w:t>
      </w:r>
      <w:r>
        <w:rPr>
          <w:i/>
          <w:iCs/>
        </w:rPr>
        <w:t xml:space="preserve">10</w:t>
      </w:r>
      <w:r>
        <w:t xml:space="preserve">, e0135928.</w:t>
      </w:r>
      <w:r>
        <w:t xml:space="preserve"> </w:t>
      </w:r>
      <w:hyperlink r:id="rId99">
        <w:r>
          <w:rPr>
            <w:rStyle w:val="Hyperlink"/>
          </w:rPr>
          <w:t xml:space="preserve">https://doi.org/10.1371/journal.pone.0135928</w:t>
        </w:r>
      </w:hyperlink>
    </w:p>
    <w:bookmarkEnd w:id="183"/>
    <w:bookmarkStart w:id="184" w:name="ref-Shima2010"/>
    <w:p>
      <w:pPr>
        <w:pStyle w:val="Bibliography"/>
      </w:pPr>
      <w:r>
        <w:t xml:space="preserve">Shima, J. S., Osenberg, C. W., &amp; Stier, A. C. (2010). The vermetid gastropod</w:t>
      </w:r>
      <w:r>
        <w:t xml:space="preserve"> </w:t>
      </w:r>
      <w:r>
        <w:rPr>
          <w:i/>
          <w:iCs/>
        </w:rPr>
        <w:t xml:space="preserve">dendropoma maximum</w:t>
      </w:r>
      <w:r>
        <w:t xml:space="preserve"> </w:t>
      </w:r>
      <w:r>
        <w:t xml:space="preserve">reduces coral growth and survival.</w:t>
      </w:r>
      <w:r>
        <w:t xml:space="preserve"> </w:t>
      </w:r>
      <w:r>
        <w:rPr>
          <w:i/>
          <w:iCs/>
        </w:rPr>
        <w:t xml:space="preserve">Biology Letters</w:t>
      </w:r>
      <w:r>
        <w:t xml:space="preserve">,</w:t>
      </w:r>
      <w:r>
        <w:t xml:space="preserve"> </w:t>
      </w:r>
      <w:r>
        <w:rPr>
          <w:i/>
          <w:iCs/>
        </w:rPr>
        <w:t xml:space="preserve">6</w:t>
      </w:r>
      <w:r>
        <w:t xml:space="preserve">, 815–818.</w:t>
      </w:r>
      <w:r>
        <w:t xml:space="preserve"> </w:t>
      </w:r>
      <w:hyperlink r:id="rId101">
        <w:r>
          <w:rPr>
            <w:rStyle w:val="Hyperlink"/>
          </w:rPr>
          <w:t xml:space="preserve">https://doi.org/10.1098/rsbl.2010.0291</w:t>
        </w:r>
      </w:hyperlink>
    </w:p>
    <w:bookmarkEnd w:id="184"/>
    <w:bookmarkStart w:id="185" w:name="ref-Speare2022"/>
    <w:p>
      <w:pPr>
        <w:pStyle w:val="Bibliography"/>
      </w:pPr>
      <w:r>
        <w:t xml:space="preserve">Speare, K. E., Adam, T. C., Winslow, E. M., Lenihan, H. S., &amp; Burkepile, D. E. (2022). Size-dependent mortality of corals during marine heatwave erodes recovery capacity of a coral reef.</w:t>
      </w:r>
      <w:r>
        <w:t xml:space="preserve"> </w:t>
      </w:r>
      <w:r>
        <w:rPr>
          <w:i/>
          <w:iCs/>
        </w:rPr>
        <w:t xml:space="preserve">Global Change Biology</w:t>
      </w:r>
      <w:r>
        <w:t xml:space="preserve">,</w:t>
      </w:r>
      <w:r>
        <w:t xml:space="preserve"> </w:t>
      </w:r>
      <w:r>
        <w:rPr>
          <w:i/>
          <w:iCs/>
        </w:rPr>
        <w:t xml:space="preserve">28</w:t>
      </w:r>
      <w:r>
        <w:t xml:space="preserve">, 1342–1358.</w:t>
      </w:r>
      <w:r>
        <w:t xml:space="preserve"> </w:t>
      </w:r>
      <w:hyperlink r:id="rId103">
        <w:r>
          <w:rPr>
            <w:rStyle w:val="Hyperlink"/>
          </w:rPr>
          <w:t xml:space="preserve">https://doi.org/10.1111/gcb.16000</w:t>
        </w:r>
      </w:hyperlink>
    </w:p>
    <w:bookmarkEnd w:id="185"/>
    <w:bookmarkStart w:id="186" w:name="ref-Stella2014"/>
    <w:p>
      <w:pPr>
        <w:pStyle w:val="Bibliography"/>
      </w:pPr>
      <w:r>
        <w:t xml:space="preserve">Stella, J. S., Munday, P. L., Walker, S. P. W., Pratchett, M. S., &amp; Jones, G. P. (2014). From cooperation to combat: Adverse effect of thermal stress in a symbiotic coral-crustacean community.</w:t>
      </w:r>
      <w:r>
        <w:t xml:space="preserve"> </w:t>
      </w:r>
      <w:r>
        <w:rPr>
          <w:i/>
          <w:iCs/>
        </w:rPr>
        <w:t xml:space="preserve">Oecologia</w:t>
      </w:r>
      <w:r>
        <w:t xml:space="preserve">,</w:t>
      </w:r>
      <w:r>
        <w:t xml:space="preserve"> </w:t>
      </w:r>
      <w:r>
        <w:rPr>
          <w:i/>
          <w:iCs/>
        </w:rPr>
        <w:t xml:space="preserve">174</w:t>
      </w:r>
      <w:r>
        <w:t xml:space="preserve">, 1187–1195.</w:t>
      </w:r>
      <w:r>
        <w:t xml:space="preserve"> </w:t>
      </w:r>
      <w:hyperlink r:id="rId105">
        <w:r>
          <w:rPr>
            <w:rStyle w:val="Hyperlink"/>
          </w:rPr>
          <w:t xml:space="preserve">https://doi.org/10.1007/s00442-013-2858-6</w:t>
        </w:r>
      </w:hyperlink>
    </w:p>
    <w:bookmarkEnd w:id="186"/>
    <w:bookmarkStart w:id="187" w:name="ref-Stier2012"/>
    <w:p>
      <w:pPr>
        <w:pStyle w:val="Bibliography"/>
      </w:pPr>
      <w:r>
        <w:t xml:space="preserve">Stier, A. C., Gil, M. A., McKeon, C. S., Lemer, S., Leray, M., Mills, S. C., &amp; Osenberg, C. W. (2012). Housekeeping mutualisms: Do more symbionts facilitate host performance?</w:t>
      </w:r>
      <w:r>
        <w:t xml:space="preserve"> </w:t>
      </w:r>
      <w:r>
        <w:rPr>
          <w:i/>
          <w:iCs/>
        </w:rPr>
        <w:t xml:space="preserve">PLoS ONE</w:t>
      </w:r>
      <w:r>
        <w:t xml:space="preserve">,</w:t>
      </w:r>
      <w:r>
        <w:t xml:space="preserve"> </w:t>
      </w:r>
      <w:r>
        <w:rPr>
          <w:i/>
          <w:iCs/>
        </w:rPr>
        <w:t xml:space="preserve">7</w:t>
      </w:r>
      <w:r>
        <w:t xml:space="preserve">, e32079.</w:t>
      </w:r>
      <w:r>
        <w:t xml:space="preserve"> </w:t>
      </w:r>
      <w:hyperlink r:id="rId107">
        <w:r>
          <w:rPr>
            <w:rStyle w:val="Hyperlink"/>
          </w:rPr>
          <w:t xml:space="preserve">https://doi.org/10.1371/journal.pone.0032079</w:t>
        </w:r>
      </w:hyperlink>
    </w:p>
    <w:bookmarkEnd w:id="187"/>
    <w:bookmarkStart w:id="188" w:name="ref-StierOsenberg2010"/>
    <w:p>
      <w:pPr>
        <w:pStyle w:val="Bibliography"/>
      </w:pPr>
      <w:r>
        <w:t xml:space="preserve">Stier, A. C., &amp; Osenberg, C. W. (2010). Propagule redirection: Habitat availability reduces colonization and increases recruitment in reef fishes.</w:t>
      </w:r>
      <w:r>
        <w:t xml:space="preserve"> </w:t>
      </w:r>
      <w:r>
        <w:rPr>
          <w:i/>
          <w:iCs/>
        </w:rPr>
        <w:t xml:space="preserve">Ecology</w:t>
      </w:r>
      <w:r>
        <w:t xml:space="preserve">,</w:t>
      </w:r>
      <w:r>
        <w:t xml:space="preserve"> </w:t>
      </w:r>
      <w:r>
        <w:rPr>
          <w:i/>
          <w:iCs/>
        </w:rPr>
        <w:t xml:space="preserve">91</w:t>
      </w:r>
      <w:r>
        <w:t xml:space="preserve">, 2826–2832.</w:t>
      </w:r>
      <w:r>
        <w:t xml:space="preserve"> </w:t>
      </w:r>
      <w:hyperlink r:id="rId109">
        <w:r>
          <w:rPr>
            <w:rStyle w:val="Hyperlink"/>
          </w:rPr>
          <w:t xml:space="preserve">https://doi.org/10.1890/09-1993.1</w:t>
        </w:r>
      </w:hyperlink>
    </w:p>
    <w:bookmarkEnd w:id="188"/>
    <w:bookmarkStart w:id="189" w:name="ref-StierInReview"/>
    <w:p>
      <w:pPr>
        <w:pStyle w:val="Bibliography"/>
      </w:pPr>
      <w:r>
        <w:t xml:space="preserve">Stier, A. C., Primo, C., Curtis, J. S., &amp; Osenberg, C. W. (in review). Habitat quantity drives community assembly and biodiversity-ecosystem function relationships in coral reef fauna.</w:t>
      </w:r>
      <w:r>
        <w:t xml:space="preserve"> </w:t>
      </w:r>
      <w:r>
        <w:rPr>
          <w:i/>
          <w:iCs/>
        </w:rPr>
        <w:t xml:space="preserve">[journal to be confirmed]</w:t>
      </w:r>
      <w:r>
        <w:t xml:space="preserve">.</w:t>
      </w:r>
    </w:p>
    <w:bookmarkEnd w:id="189"/>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hyperlink" Id="rId67" Target="https://CRAN.R-project.org/package=pwr" TargetMode="External" /><Relationship Type="http://schemas.openxmlformats.org/officeDocument/2006/relationships/hyperlink" Id="rId63" Target="https://doi.org/10.1002/ecy.3324" TargetMode="External" /><Relationship Type="http://schemas.openxmlformats.org/officeDocument/2006/relationships/hyperlink" Id="rId65" Target="https://doi.org/10.1007/BF00390685" TargetMode="External" /><Relationship Type="http://schemas.openxmlformats.org/officeDocument/2006/relationships/hyperlink" Id="rId84" Target="https://doi.org/10.1007/s00227-008-1051-7" TargetMode="External" /><Relationship Type="http://schemas.openxmlformats.org/officeDocument/2006/relationships/hyperlink" Id="rId73" Target="https://doi.org/10.1007/s00338-018-1709-7" TargetMode="External" /><Relationship Type="http://schemas.openxmlformats.org/officeDocument/2006/relationships/hyperlink" Id="rId95" Target="https://doi.org/10.1007/s00442-012-2275-2" TargetMode="External" /><Relationship Type="http://schemas.openxmlformats.org/officeDocument/2006/relationships/hyperlink" Id="rId105" Target="https://doi.org/10.1007/s00442-013-2858-6" TargetMode="External" /><Relationship Type="http://schemas.openxmlformats.org/officeDocument/2006/relationships/hyperlink" Id="rId80" Target="https://doi.org/10.1007/s12080-017-0352-1" TargetMode="External" /><Relationship Type="http://schemas.openxmlformats.org/officeDocument/2006/relationships/hyperlink" Id="rId61" Target="https://doi.org/10.1016/0169-5347(94)90246-1" TargetMode="External" /><Relationship Type="http://schemas.openxmlformats.org/officeDocument/2006/relationships/hyperlink" Id="rId59" Target="https://doi.org/10.1016/j.jembe.2004.12.023" TargetMode="External" /><Relationship Type="http://schemas.openxmlformats.org/officeDocument/2006/relationships/hyperlink" Id="rId90" Target="https://doi.org/10.1038/nature06970" TargetMode="External" /><Relationship Type="http://schemas.openxmlformats.org/officeDocument/2006/relationships/hyperlink" Id="rId101" Target="https://doi.org/10.1098/rsbl.2010.0291" TargetMode="External" /><Relationship Type="http://schemas.openxmlformats.org/officeDocument/2006/relationships/hyperlink" Id="rId103" Target="https://doi.org/10.1111/gcb.16000" TargetMode="External" /><Relationship Type="http://schemas.openxmlformats.org/officeDocument/2006/relationships/hyperlink" Id="rId97" Target="https://doi.org/10.1111/j.1365-2656.2005.00913.x" TargetMode="External" /><Relationship Type="http://schemas.openxmlformats.org/officeDocument/2006/relationships/hyperlink" Id="rId88" Target="https://doi.org/10.1111/mec.16556" TargetMode="External" /><Relationship Type="http://schemas.openxmlformats.org/officeDocument/2006/relationships/hyperlink" Id="rId78" Target="https://doi.org/10.1126/sciadv.1500052" TargetMode="External" /><Relationship Type="http://schemas.openxmlformats.org/officeDocument/2006/relationships/hyperlink" Id="rId82" Target="https://doi.org/10.1126/science.286.5442.1123" TargetMode="External" /><Relationship Type="http://schemas.openxmlformats.org/officeDocument/2006/relationships/hyperlink" Id="rId92" Target="https://doi.org/10.1146/annurev.en.28.010183.000323" TargetMode="External" /><Relationship Type="http://schemas.openxmlformats.org/officeDocument/2006/relationships/hyperlink" Id="rId107" Target="https://doi.org/10.1371/journal.pone.0032079" TargetMode="External" /><Relationship Type="http://schemas.openxmlformats.org/officeDocument/2006/relationships/hyperlink" Id="rId99" Target="https://doi.org/10.1371/journal.pone.0135928" TargetMode="External" /><Relationship Type="http://schemas.openxmlformats.org/officeDocument/2006/relationships/hyperlink" Id="rId71" Target="https://doi.org/10.1371/journal.pone.0208545" TargetMode="External" /><Relationship Type="http://schemas.openxmlformats.org/officeDocument/2006/relationships/hyperlink" Id="rId109" Target="https://doi.org/10.1890/09-1993.1" TargetMode="External" /><Relationship Type="http://schemas.openxmlformats.org/officeDocument/2006/relationships/hyperlink" Id="rId69" Target="https://doi.org/10.1890/ES10-00117.1" TargetMode="External" /><Relationship Type="http://schemas.openxmlformats.org/officeDocument/2006/relationships/hyperlink" Id="rId57" Target="https://doi.org/10.2307/3038097" TargetMode="External" /><Relationship Type="http://schemas.openxmlformats.org/officeDocument/2006/relationships/hyperlink" Id="rId75" Target="https://doi.org/10.2307/5880" TargetMode="External" /><Relationship Type="http://schemas.openxmlformats.org/officeDocument/2006/relationships/hyperlink" Id="rId86" Target="https://doi.org/10.3354/meps030021" TargetMode="External" /></Relationships>
</file>

<file path=word/_rels/footnotes.xml.rels><?xml version="1.0" encoding="UTF-8"?><Relationships xmlns="http://schemas.openxmlformats.org/package/2006/relationships"><Relationship Type="http://schemas.openxmlformats.org/officeDocument/2006/relationships/hyperlink" Id="rId67" Target="https://CRAN.R-project.org/package=pwr" TargetMode="External" /><Relationship Type="http://schemas.openxmlformats.org/officeDocument/2006/relationships/hyperlink" Id="rId63" Target="https://doi.org/10.1002/ecy.3324" TargetMode="External" /><Relationship Type="http://schemas.openxmlformats.org/officeDocument/2006/relationships/hyperlink" Id="rId65" Target="https://doi.org/10.1007/BF00390685" TargetMode="External" /><Relationship Type="http://schemas.openxmlformats.org/officeDocument/2006/relationships/hyperlink" Id="rId84" Target="https://doi.org/10.1007/s00227-008-1051-7" TargetMode="External" /><Relationship Type="http://schemas.openxmlformats.org/officeDocument/2006/relationships/hyperlink" Id="rId73" Target="https://doi.org/10.1007/s00338-018-1709-7" TargetMode="External" /><Relationship Type="http://schemas.openxmlformats.org/officeDocument/2006/relationships/hyperlink" Id="rId95" Target="https://doi.org/10.1007/s00442-012-2275-2" TargetMode="External" /><Relationship Type="http://schemas.openxmlformats.org/officeDocument/2006/relationships/hyperlink" Id="rId105" Target="https://doi.org/10.1007/s00442-013-2858-6" TargetMode="External" /><Relationship Type="http://schemas.openxmlformats.org/officeDocument/2006/relationships/hyperlink" Id="rId80" Target="https://doi.org/10.1007/s12080-017-0352-1" TargetMode="External" /><Relationship Type="http://schemas.openxmlformats.org/officeDocument/2006/relationships/hyperlink" Id="rId61" Target="https://doi.org/10.1016/0169-5347(94)90246-1" TargetMode="External" /><Relationship Type="http://schemas.openxmlformats.org/officeDocument/2006/relationships/hyperlink" Id="rId59" Target="https://doi.org/10.1016/j.jembe.2004.12.023" TargetMode="External" /><Relationship Type="http://schemas.openxmlformats.org/officeDocument/2006/relationships/hyperlink" Id="rId90" Target="https://doi.org/10.1038/nature06970" TargetMode="External" /><Relationship Type="http://schemas.openxmlformats.org/officeDocument/2006/relationships/hyperlink" Id="rId101" Target="https://doi.org/10.1098/rsbl.2010.0291" TargetMode="External" /><Relationship Type="http://schemas.openxmlformats.org/officeDocument/2006/relationships/hyperlink" Id="rId103" Target="https://doi.org/10.1111/gcb.16000" TargetMode="External" /><Relationship Type="http://schemas.openxmlformats.org/officeDocument/2006/relationships/hyperlink" Id="rId97" Target="https://doi.org/10.1111/j.1365-2656.2005.00913.x" TargetMode="External" /><Relationship Type="http://schemas.openxmlformats.org/officeDocument/2006/relationships/hyperlink" Id="rId88" Target="https://doi.org/10.1111/mec.16556" TargetMode="External" /><Relationship Type="http://schemas.openxmlformats.org/officeDocument/2006/relationships/hyperlink" Id="rId78" Target="https://doi.org/10.1126/sciadv.1500052" TargetMode="External" /><Relationship Type="http://schemas.openxmlformats.org/officeDocument/2006/relationships/hyperlink" Id="rId82" Target="https://doi.org/10.1126/science.286.5442.1123" TargetMode="External" /><Relationship Type="http://schemas.openxmlformats.org/officeDocument/2006/relationships/hyperlink" Id="rId92" Target="https://doi.org/10.1146/annurev.en.28.010183.000323" TargetMode="External" /><Relationship Type="http://schemas.openxmlformats.org/officeDocument/2006/relationships/hyperlink" Id="rId107" Target="https://doi.org/10.1371/journal.pone.0032079" TargetMode="External" /><Relationship Type="http://schemas.openxmlformats.org/officeDocument/2006/relationships/hyperlink" Id="rId99" Target="https://doi.org/10.1371/journal.pone.0135928" TargetMode="External" /><Relationship Type="http://schemas.openxmlformats.org/officeDocument/2006/relationships/hyperlink" Id="rId71" Target="https://doi.org/10.1371/journal.pone.0208545" TargetMode="External" /><Relationship Type="http://schemas.openxmlformats.org/officeDocument/2006/relationships/hyperlink" Id="rId109" Target="https://doi.org/10.1890/09-1993.1" TargetMode="External" /><Relationship Type="http://schemas.openxmlformats.org/officeDocument/2006/relationships/hyperlink" Id="rId69" Target="https://doi.org/10.1890/ES10-00117.1" TargetMode="External" /><Relationship Type="http://schemas.openxmlformats.org/officeDocument/2006/relationships/hyperlink" Id="rId57" Target="https://doi.org/10.2307/3038097" TargetMode="External" /><Relationship Type="http://schemas.openxmlformats.org/officeDocument/2006/relationships/hyperlink" Id="rId75" Target="https://doi.org/10.2307/5880" TargetMode="External" /><Relationship Type="http://schemas.openxmlformats.org/officeDocument/2006/relationships/hyperlink" Id="rId86" Target="https://doi.org/10.3354/meps03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Colony size drives sublinear scaling, compositional turnover, and biodiversity–condition feedbacks in coral-associated fauna</dc:title>
  <dc:creator/>
  <dc:language>en</dc:language>
  <cp:keywords/>
  <dcterms:created xsi:type="dcterms:W3CDTF">2026-03-24T13:25:55Z</dcterms:created>
  <dcterms:modified xsi:type="dcterms:W3CDTF">2026-03-24T13:25:55Z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journal-of-animal-ecology.csl</vt:lpwstr>
  </property>
  <property fmtid="{D5CDD505-2E9C-101B-9397-08002B2CF9AE}" pid="4" name="link-citations">
    <vt:lpwstr>True</vt:lpwstr>
  </property>
</Properties>
</file>