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110" w:name="X833a375cd9ba65dbf46f3ef06ef724ad27fb6a5"/>
    <w:p>
      <w:pPr>
        <w:pStyle w:val="Heading1"/>
      </w:pPr>
      <w:r>
        <w:t xml:space="preserve">Colony size drives sublinear scaling, compositional turnover, and biodiversity–condition feedbacks in coral-associated fauna</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meaning larger corals harbor more occupants but at progressively lower per-capita densities – density dilution from a finite colonist pool. Because large colonies are diluted, the scaling regime has direct consequences for host condition: colony volume drove compositional turnover dominated by species replacement rather than nestedness, with host architecture explaining as much unique compositional variation as habitat area itself. Shorter inter-colony distances independently enhanced richness, an effect that survived rarefaction. Species richness positively predicted coral physiological condition, consistent with biodiversity–ecosystem function theory, though the causal pathway remains uncertain. Together, these results document a chain from habitat quantity through density dilution and community assembly to habitat condition. This chain is relevant wherever habitat loss or climate stress restructures the occupant communities that feed back on the condition of the biogenic habitats they depend 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determines per-unit occupant density and, where the habitat is itself a living organism, the strength of occupant–host feedbacks. Residents of biogenic habitats alter host growth, survival, and condition through predator defense (Glynn 1983), nutrient processing (Meyer &amp; Schultz 1985), feeding (Silliman et al. 2005), and interactions with co-residents (Angelini et al. 2011). Per-unit occupant density therefore governs the intensity of these interactions, linking habitat configuration to habitat condition. In ecosystems structured by foundation species – trees, corals, kelps, oysters – the scaling regime shapes both community structure and host condition (Dayton 1972; MacArthur &amp; Wilson 1967), yet empirical tests of how scaling translates through community assembly to habitat condition remain scarce (Hamman et al. 2018; Moeller et al. 2023). Understanding these feedbacks is essential for predicting ecosystem trajectories under habitat loss, and for restoration practitioners who manipulate foundation species to enhance recovery.</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and the outcome depends on colonist longevity, density-dependent mortality, and migration frequency (Hamman et al. 2018). 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Which regime prevails thus shapes whether habitat loss restructures occupant communities in ways that accelerate or buffer further decline (Rennick et al. 2022).</w:t>
      </w:r>
    </w:p>
    <w:p>
      <w:pPr>
        <w:pStyle w:val="BodyText"/>
      </w:pPr>
      <w:r>
        <w:t xml:space="preserve">But density is not the whole story. If sublinear scaling forces occupant communities to diversify rather than simply accumulate – adding new species rather than more conspecifics – then habitat size determines not just how many occupants a patch supports but which ones. And if different occupants have different effects on their host – defenders versus corallivores, nutrient subsidizers versus tissue consumers – then the scaling regime determines the net effect of the occupant community on habitat condition. No study has tested this full chain, from habitat quantity through compositional turnover to habitat condition, in a biogenic habitat system.</w:t>
      </w:r>
    </w:p>
    <w:p>
      <w:pPr>
        <w:pStyle w:val="BodyText"/>
      </w:pPr>
      <w:r>
        <w:t xml:space="preserve">Colony architecture – branching geometry, interstitial space, microhabitat complexity – may add a further dimension. If occupants colonize based on physical habitat structure rather than host identity, then variation in architecture filters community composition independently of habitat quantity. For branching corals, whose cryptic species complex encompasses lineages that differ substantially in branch spacing and colony form (</w:t>
      </w:r>
      <w:r>
        <w:t xml:space="preserve">Johnston et al. (</w:t>
      </w:r>
      <w:hyperlink w:anchor="ref-JohnstonCunningBurgess2022">
        <w:r>
          <w:rPr>
            <w:rStyle w:val="Hyperlink"/>
          </w:rPr>
          <w:t xml:space="preserve">2022</w:t>
        </w:r>
      </w:hyperlink>
      <w:r>
        <w:t xml:space="preserve">)</w:t>
      </w:r>
      <w:r>
        <w:t xml:space="preserve">;</w:t>
      </w:r>
      <w:r>
        <w:t xml:space="preserve"> </w:t>
      </w:r>
      <w:r>
        <w:t xml:space="preserve">Burgess et al. (</w:t>
      </w:r>
      <w:hyperlink w:anchor="ref-Burgess2021">
        <w:r>
          <w:rPr>
            <w:rStyle w:val="Hyperlink"/>
          </w:rPr>
          <w:t xml:space="preserve">2021</w:t>
        </w:r>
      </w:hyperlink>
      <w:r>
        <w:t xml:space="preserve">)</w:t>
      </w:r>
      <w:r>
        <w:t xml:space="preserve">), this raises the question of whether habitat identity shapes occupant communities beyond what habitat area alone predicts – and whether the architecture that mediates this filtering also mediates the link between community composition and host condition.</w:t>
      </w:r>
    </w:p>
    <w:p>
      <w:pPr>
        <w:pStyle w:val="BodyText"/>
      </w:pPr>
      <w:r>
        <w:t xml:space="preserve">Branching corals in the genus</w:t>
      </w:r>
      <w:r>
        <w:t xml:space="preserve"> </w:t>
      </w:r>
      <w:r>
        <w:rPr>
          <w:i/>
          <w:iCs/>
        </w:rPr>
        <w:t xml:space="preserve">Pocillopora</w:t>
      </w:r>
      <w:r>
        <w:t xml:space="preserve"> </w:t>
      </w:r>
      <w:r>
        <w:t xml:space="preserve">offer a tractable model for testing these ideas.</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spp.) defend corals from predatory sea stars and remove sediment (Glynn 1983; Stier et al. 2012), snapping shrimp (</w:t>
      </w:r>
      <w:r>
        <w:rPr>
          <w:i/>
          <w:iCs/>
        </w:rPr>
        <w:t xml:space="preserve">Alpheus</w:t>
      </w:r>
      <w:r>
        <w:t xml:space="preserve"> </w:t>
      </w:r>
      <w:r>
        <w:t xml:space="preserve">spp.) deter predators, coral-dwelling fishes subsidize host nutrition through ammonia-rich excretion (Holbrook et al. 2008; Shantz et al. 2023), and corallivorous gastropods consume tissue and facilitate disease (Boucher 1986; Nicolet et al. 2013). Because many CAFI are obligate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Species stacking generates a compositional prediction distinct from passive sampling: small-coral faunas should not be nested subsets of large-coral faunas, and colony volume should structure the identity of occupants, not just their number. CAFI abundance increases with colony volume but less than proportionally across coral genera and reef systems (Gotelli &amp; Abele 1985; Curtis et al. 2023; Harborne et al. 2011; Brush et al. 2026), and a companion experiment manipulating coral density found proportional scaling during active colonization but sublinear scaling in established communities ([Anonymous, in review]), suggesting that post-settlement processes shift the scaling regime as communities mature.</w:t>
      </w:r>
    </w:p>
    <w:p>
      <w:pPr>
        <w:pStyle w:val="BodyText"/>
      </w:pPr>
      <w:r>
        <w:t xml:space="preserve">Here, we survey 114</w:t>
      </w:r>
      <w:r>
        <w:t xml:space="preserve"> </w:t>
      </w:r>
      <w:r>
        <w:rPr>
          <w:i/>
          <w:iCs/>
        </w:rPr>
        <w:t xml:space="preserve">Pocillopora</w:t>
      </w:r>
      <w:r>
        <w:t xml:space="preserve"> </w:t>
      </w:r>
      <w:r>
        <w:t xml:space="preserve">colonies spanning three orders of magnitude in volume across three reef habitats on Mo’orea, French Polynesia, cataloging 3,989 individuals from 243 taxa to test three linked predictions. First, we predicted that CAFI abundance scales sublinearly with colony volume, consistent with Propagule Redirection, and that the raw species–area relationship reflects passive sampling rather than active species accumulation. If scaling is sublinear, species stacking predicts that composition should turn over – not merely accumulate – along the size gradient. We therefore predicted, second, that CAFI composition changes through species replacement rather than nestedness, with colony volume and host architecture structuring occupant identity beyond abundance alone. Third, we predicted that the resulting community variation covaries with coral condition: if functionally distinct residents – guard crabs, nutrient-subsidizing fishes, corallivorous gastropods – contribute complementary services, then diversity should predict condition beyond what abundance alone explains.</w:t>
      </w:r>
    </w:p>
    <w:p>
      <w:pPr>
        <w:pStyle w:val="BodyText"/>
      </w:pPr>
      <w:r>
        <w:t xml:space="preserve">Together, these predictions trace a chain from habitat quantity through density dilution and community assembly to habitat condition. If density dilution leaves large colonies with proportionally fewer mutualists and proportionally more antagonists, this chain has direct consequences wherever habitat loss or climate stress restructures the occupant communities that sustain biogenic habitats – a prediction made more urgent by the size-dependent vulnerability of large habitat-forming organisms to thermal stress (Speare et al. 2022), and as relevant to oyster reefs and forest canopies as to coral branches.</w:t>
      </w:r>
    </w:p>
    <w:p>
      <w:r>
        <w:pict>
          <v:rect style="width:0;height:1.5pt" o:hralign="center" o:hrstd="t" o:hr="t"/>
        </w:pict>
      </w:r>
    </w:p>
    <w:bookmarkEnd w:id="10"/>
    <w:bookmarkStart w:id="24"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Position measurements were unavailable for 10 Maharepa colonies, reducing site balance in the BEF subsample.</w:t>
      </w:r>
    </w:p>
    <w:bookmarkEnd w:id="14"/>
    <w:bookmarkStart w:id="23"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1"/>
    <w:bookmarkStart w:id="22"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2"/>
    <w:bookmarkEnd w:id="23"/>
    <w:bookmarkEnd w:id="24"/>
    <w:bookmarkStart w:id="27" w:name="results"/>
    <w:p>
      <w:pPr>
        <w:pStyle w:val="Heading2"/>
      </w:pPr>
      <w:r>
        <w:t xml:space="preserve">Results</w:t>
      </w:r>
    </w:p>
    <w:bookmarkStart w:id="25"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bookmarkEnd w:id="25"/>
    <w:bookmarkStart w:id="26" w:name="neighborhood-context-1"/>
    <w:p>
      <w:pPr>
        <w:pStyle w:val="Heading3"/>
      </w:pPr>
      <w:r>
        <w:t xml:space="preserve">Neighborhood context</w:t>
      </w:r>
    </w:p>
    <w:p>
      <w:pPr>
        <w:pStyle w:val="FirstParagraph"/>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The distance–richness relationship survived rarefaction (n = 39, p = 0.005), confirming genuine species accumulation rather than a passive sampling artifact.</w:t>
      </w:r>
    </w:p>
    <w:p>
      <w:pPr>
        <w:pStyle w:val="BodyText"/>
      </w:pPr>
      <w:r>
        <w:t xml:space="preserve">Beyond shaping how many species a colony hosts, colony size also structures which species are present.</w:t>
      </w:r>
    </w:p>
    <w:bookmarkEnd w:id="26"/>
    <w:bookmarkEnd w:id="27"/>
    <w:bookmarkStart w:id="29" w:name="Xcb6d5a45f16b1978bd030ce923bb5df44c89a11"/>
    <w:p>
      <w:pPr>
        <w:pStyle w:val="Heading2"/>
      </w:pPr>
      <w:r>
        <w:t xml:space="preserve">Q2: Site pools and coral size structure community composition</w:t>
      </w:r>
    </w:p>
    <w:p>
      <w:pPr>
        <w:pStyle w:val="FirstParagraph"/>
      </w:pPr>
      <w:r>
        <w:t xml:space="preserve">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p>
      <w:pPr>
        <w:pStyle w:val="BodyText"/>
      </w:pPr>
      <w:r>
        <w:t xml:space="preserve">Community variability declined from small to large corals (distance-to-centroid ANOVA F = 9.21, p &lt; 0.001; Fig. S15), consistent with compositional convergence as communities mature. Because</w:t>
      </w:r>
      <w:r>
        <w:t xml:space="preserve"> </w:t>
      </w:r>
      <w:r>
        <w:rPr>
          <w:i/>
          <w:iCs/>
        </w:rPr>
        <w:t xml:space="preserve">Pocillopora</w:t>
      </w:r>
      <w:r>
        <w:t xml:space="preserve"> </w:t>
      </w:r>
      <w:r>
        <w:t xml:space="preserve">comprises multiple cryptic species with distinct branching architectures, we tested whether host species identity contributes to compositional variation beyond colony size (Supplementary Methods). Coral genetic species predicted CAFI richness (p = 0.007) and composition (PERMANOVA R² = 0.08, p = 0.001) but not total abundance (p = 0.24; Table S16). Three-way variance partitioning attributed comparable unique variation to host architecture (5.6%) and colony volume (4.6%), both exceeding site (2.9%; Table S16). The corallivore</w:t>
      </w:r>
      <w:r>
        <w:t xml:space="preserve"> </w:t>
      </w:r>
      <w:r>
        <w:rPr>
          <w:i/>
          <w:iCs/>
        </w:rPr>
        <w:t xml:space="preserve">Galeropsis monodonta</w:t>
      </w:r>
      <w:r>
        <w:t xml:space="preserve"> </w:t>
      </w:r>
      <w:r>
        <w:t xml:space="preserve">showed strong host specificity to</w:t>
      </w:r>
      <w:r>
        <w:t xml:space="preserve"> </w:t>
      </w:r>
      <w:r>
        <w:rPr>
          <w:i/>
          <w:iCs/>
        </w:rPr>
        <w:t xml:space="preserve">P. verrucosa</w:t>
      </w:r>
      <w:r>
        <w:t xml:space="preserve"> </w:t>
      </w:r>
      <w:r>
        <w:t xml:space="preserve">(7-fold enrichment), while obligate</w:t>
      </w:r>
      <w:r>
        <w:t xml:space="preserve"> </w:t>
      </w:r>
      <w:r>
        <w:rPr>
          <w:i/>
          <w:iCs/>
        </w:rPr>
        <w:t xml:space="preserve">Trapezia</w:t>
      </w:r>
      <w:r>
        <w:t xml:space="preserve"> </w:t>
      </w:r>
      <w:r>
        <w:t xml:space="preserve">did not differ among coral species (p = 0.51), suggesting that guard crabs colonize based on colony geometry rather than host identity (Tables S17–S18; Figs. S12–S13).</w:t>
      </w:r>
    </w:p>
    <w:bookmarkStart w:id="28" w:name="Xdf824793d2dbda0b88fc5e0cfb268de37e5e011"/>
    <w:p>
      <w:pPr>
        <w:pStyle w:val="Heading3"/>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28"/>
    <w:bookmarkEnd w:id="29"/>
    <w:bookmarkStart w:id="30" w:name="Xbe5cbc1ed8c9c0eeed5a05cdb770c643f1fc6e3"/>
    <w:p>
      <w:pPr>
        <w:pStyle w:val="Heading2"/>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(p = 0.50, n = 47; minimum detectable R² = 0.15 at 80% power; Fig. S8). No exploratory predictor survived FDR correction (Table S2), and reverse-direction tests were non-significant (Fig. S11C; Table S2).</w:t>
      </w:r>
    </w:p>
    <w:bookmarkEnd w:id="30"/>
    <w:bookmarkStart w:id="35" w:name="discussion"/>
    <w:p>
      <w:pPr>
        <w:pStyle w:val="Heading2"/>
      </w:pPr>
      <w:r>
        <w:t xml:space="preserve">Discussion</w:t>
      </w:r>
    </w:p>
    <w:p>
      <w:pPr>
        <w:pStyle w:val="FirstParagraph"/>
      </w:pPr>
      <w:r>
        <w:t xml:space="preserve">Finite colonist pools, not habitat capacity, limit how many occupants a coral colony accumulates – and this constraint cascades through community assembly to coral condition. Abundance scales sublinearly with colony volume and per-capita density dilutes as corals grow (Q1), composition turns over rather than nesting along the size gradient (Q2), and the resulting community variation covaries with coral condition (Q3; Figs. 2, 4, 5). We interpret our findings alongside the companion manipulation experiment ([Anonymous, in review]) and the broader experimental literature. Because our cross-sectional design documents associations at each link but cannot establish causality, the chain remains correlational; we flag interpretive ambiguities at each step below.</w:t>
      </w:r>
    </w:p>
    <w:bookmarkStart w:id="31"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(Table S7).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Sublinear scaling and density dilution predict not only fewer occupants per unit volume but also different species on different-sized hosts – and if composition changes predictably, so may the services that occupants provide.</w:t>
      </w:r>
    </w:p>
    <w:bookmarkEnd w:id="31"/>
    <w:bookmarkStart w:id="32"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leaving a large role for host identity and stochastic colonization. Three-way variance partitioning attributes more unique compositional variation to host architecture – branch width and genetic species identity (5.6%) – than to colony volume (4.6%) or site (2.9%) alone (Table S16), indicating that habitat identity, not merely habitat area, structures these communities. Architecture mediates host genotype effects on occupant identity: corallivores such as</w:t>
      </w:r>
      <w:r>
        <w:t xml:space="preserve"> </w:t>
      </w:r>
      <w:r>
        <w:rPr>
          <w:i/>
          <w:iCs/>
        </w:rPr>
        <w:t xml:space="preserve">Galeropsis monodonta</w:t>
      </w:r>
      <w:r>
        <w:t xml:space="preserve"> </w:t>
      </w:r>
      <w:r>
        <w:t xml:space="preserve">track host species directly (7-fold enrichment on</w:t>
      </w:r>
      <w:r>
        <w:t xml:space="preserve"> </w:t>
      </w:r>
      <w:r>
        <w:rPr>
          <w:i/>
          <w:iCs/>
        </w:rPr>
        <w:t xml:space="preserve">P. verrucosa</w:t>
      </w:r>
      <w:r>
        <w:t xml:space="preserve">), while obligate mutualists colonize based on colony geometry rather than host identity. Within shared corals,</w:t>
      </w:r>
      <w:r>
        <w:t xml:space="preserve"> </w:t>
      </w:r>
      <w:r>
        <w:rPr>
          <w:i/>
          <w:iCs/>
        </w:rPr>
        <w:t xml:space="preserve">Trapezia</w:t>
      </w:r>
      <w:r>
        <w:t xml:space="preserve"> </w:t>
      </w:r>
      <w:r>
        <w:t xml:space="preserve">species partition by body size – larger-bodied</w:t>
      </w:r>
      <w:r>
        <w:t xml:space="preserve"> </w:t>
      </w:r>
      <w:r>
        <w:rPr>
          <w:i/>
          <w:iCs/>
        </w:rPr>
        <w:t xml:space="preserve">T. flavopunctata</w:t>
      </w:r>
      <w:r>
        <w:t xml:space="preserve"> </w:t>
      </w:r>
      <w:r>
        <w:t xml:space="preserve">dominating wide-branched colonies, smaller</w:t>
      </w:r>
      <w:r>
        <w:t xml:space="preserve"> </w:t>
      </w:r>
      <w:r>
        <w:rPr>
          <w:i/>
          <w:iCs/>
        </w:rPr>
        <w:t xml:space="preserve">T. serenei</w:t>
      </w:r>
      <w:r>
        <w:t xml:space="preserve"> </w:t>
      </w:r>
      <w:r>
        <w:t xml:space="preserve">narrower ones (Fig. S14) – consistent with character displacement that strengthens species stacking along the architectural gradient.</w:t>
      </w:r>
    </w:p>
    <w:p>
      <w:pPr>
        <w:pStyle w:val="BodyText"/>
      </w:pPr>
      <w:r>
        <w:t xml:space="preserve">Co-occurrence patterns reinforce this picture of constrained assembly within a stochastic backdrop. Volume-weighted null models detected no significant pairwise associations after FDR correction (Fig. S9), yet six species showed significant mating-pair aggregation, concentrating conspecific pairs on a subset of corals. The resulting non-random mosaic of well-defended and poorly-defended colonies – arising from pair-aggregation against a largely stochastic background – creates the among-colony variation in functional composition on which any diversity-condition relationship depends.</w:t>
      </w:r>
    </w:p>
    <w:p>
      <w:pPr>
        <w:pStyle w:val="BodyText"/>
      </w:pPr>
      <w:r>
        <w:t xml:space="preserve">The decline in beta-dispersion from small to large corals adds a temporal dimension to the assembly picture. Raup–Crick null-model analysis confirmed that communities were more similar than expected under stochastic assembly (Fig. S16; Table S20), and taxonomic overdispersion further supported deterministic filtering (Fig. S17). If colony size proxies community age – larger colonies having had longer for post-settlement sorting – then communities progress from stochastic early colonization toward deterministic convergence, a trajectory predicted by metacommunity theory for habitat patches above a threshold size</w:t>
      </w:r>
      <w:r>
        <w:t xml:space="preserve"> </w:t>
      </w:r>
      <w:r>
        <w:t xml:space="preserve">(</w:t>
      </w:r>
      <w:hyperlink w:anchor="ref-Chase2011">
        <w:r>
          <w:rPr>
            <w:rStyle w:val="Hyperlink"/>
          </w:rPr>
          <w:t xml:space="preserve">J. M. Chase et al., 2011</w:t>
        </w:r>
      </w:hyperlink>
      <w:r>
        <w:t xml:space="preserve">)</w:t>
      </w:r>
      <w:r>
        <w:t xml:space="preserve">. This convergence makes the diversity-condition relationship (Q3) mechanistically coherent: complementarity requires repeatable species combinations, not random assemblages, and the predictable communities that emerge on large corals provide exactly the stable functional backdrop on which diversity effects can operate.</w:t>
      </w:r>
    </w:p>
    <w:bookmarkEnd w:id="32"/>
    <w:bookmarkStart w:id="33" w:name="cafi-diversity-and-coral-condition"/>
    <w:p>
      <w:pPr>
        <w:pStyle w:val="Heading3"/>
      </w:pPr>
      <w:r>
        <w:t xml:space="preserve">CAFI diversity and coral condition</w:t>
      </w:r>
    </w:p>
    <w:p>
      <w:pPr>
        <w:pStyle w:val="FirstParagraph"/>
      </w:pPr>
      <w:r>
        <w:t xml:space="preserve">Species richness positively predicted coral condition (p = 0.018), consistent with BEF complementarity among functionally distinct residents. The association is modest (adjusted R² = 0.04), and richness shares 70.8% of its explanatory power with abundance – unsurprising given the tight richness-abundance coupling that sublinear scaling produces. Rarefied richness showed no relationship (Fig. S8), but this null is ambiguous: if diversity enhances condition partly through total occupancy – more species meaning more defenders, more nutrient subsidizers, and fewer empty niches – then rarefaction strips the mechanism along with the confound.</w:t>
      </w:r>
    </w:p>
    <w:p>
      <w:pPr>
        <w:pStyle w:val="BodyText"/>
      </w:pPr>
      <w:r>
        <w:t xml:space="preserve">Three lines of evidence favor complementarity over a pure abundance pathway. Variance partitioning attributes 30x more unique explanatory power to richness than to abundance (Fig. S10A). The path model estimates a larger richness-to-condition coefficient (Fig. S10C). And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driving the signal; effect directions for functional groups and individual species were broadly concordant with the companion experiment (Table S3). Mediation analysis confirmed that the richness effect operates directly rather than through abundance (ACME p = 0.69; Table S12). The equally parsimonious counter-interpretation – that richness simply proxies total occupancy – cannot be excluded with observational data alone.</w:t>
      </w:r>
    </w:p>
    <w:p>
      <w:pPr>
        <w:pStyle w:val="BodyText"/>
      </w:pPr>
      <w:r>
        <w:t xml:space="preserve">The morphotype result initially appears to undermine the diversity-condition link, but disentangling architecture from species identity reverses the interpretation. Adding coral morphotype as a covariate absorbed the richness signal (Table S13), yet adding genetic species identity (mtORF haplotype) did not (p = 0.010; Table S15). This asymmetry arises because field morphotype captures branching architecture – which mediates the genotype-to-composition pathway – rather than species identity per se (Supplementary Methods; Tables S15–S16). The companion study ([Anonymous, in review]) confirms this mediation: haplotype effects on composition disappeared when architecture was controlled. The absorption of the richness signal by morphotype therefore reflects the pathway through which habitat structure generates diversity, not a confound that invalidates the BEF relationship.</w:t>
      </w:r>
    </w:p>
    <w:p>
      <w:pPr>
        <w:pStyle w:val="BodyText"/>
      </w:pPr>
      <w:r>
        <w:t xml:space="preserve">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T. J. 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r>
        <w:t xml:space="preserve"> </w:t>
      </w:r>
      <w:r>
        <w:rPr>
          <w:i/>
          <w:iCs/>
        </w:rPr>
        <w:t xml:space="preserve">Galeropsis monodonta’s</w:t>
      </w:r>
      <w:r>
        <w:t xml:space="preserve"> </w:t>
      </w:r>
      <w:r>
        <w:t xml:space="preserve">positive association with condition despite being a corallivore likely reflects reverse causation – healthier corals sustaining larger corallivore populations. If even a weak diversity-condition link operates,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3"/>
    <w:bookmarkStart w:id="34"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These patterns reflect a single seasonal snapshot; whether the scaling regime and its compositional consequences persist across recruitment cycles and disturbance events remains untested.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4"/>
    <w:bookmarkEnd w:id="35"/>
    <w:bookmarkStart w:id="36" w:name="acknowledgements"/>
    <w:p>
      <w:pPr>
        <w:pStyle w:val="Heading2"/>
      </w:pPr>
      <w:r>
        <w:t xml:space="preserve">Acknowledgements</w:t>
      </w:r>
    </w:p>
    <w:p>
      <w:pPr>
        <w:pStyle w:val="FirstParagraph"/>
      </w:pPr>
      <w:r>
        <w:t xml:space="preserve">[Removed for double-anonymized review]</w:t>
      </w:r>
    </w:p>
    <w:p>
      <w:r>
        <w:pict>
          <v:rect style="width:0;height:1.5pt" o:hralign="center" o:hrstd="t" o:hr="t"/>
        </w:pict>
      </w:r>
    </w:p>
    <w:bookmarkEnd w:id="36"/>
    <w:bookmarkStart w:id="37" w:name="author-contributions"/>
    <w:p>
      <w:pPr>
        <w:pStyle w:val="Heading2"/>
      </w:pPr>
      <w:r>
        <w:t xml:space="preserve">Author Contributions</w:t>
      </w:r>
    </w:p>
    <w:p>
      <w:pPr>
        <w:pStyle w:val="FirstParagraph"/>
      </w:pPr>
      <w:r>
        <w:t xml:space="preserve">[Removed for double-anonymized review]</w:t>
      </w:r>
    </w:p>
    <w:p>
      <w:r>
        <w:pict>
          <v:rect style="width:0;height:1.5pt" o:hralign="center" o:hrstd="t" o:hr="t"/>
        </w:pict>
      </w:r>
    </w:p>
    <w:bookmarkEnd w:id="37"/>
    <w:bookmarkStart w:id="38" w:name="conflict-of-interest"/>
    <w:p>
      <w:pPr>
        <w:pStyle w:val="Heading2"/>
      </w:pPr>
      <w:r>
        <w:t xml:space="preserve">Conflict of Interest</w:t>
      </w:r>
    </w:p>
    <w:p>
      <w:pPr>
        <w:pStyle w:val="FirstParagraph"/>
      </w:pPr>
      <w:r>
        <w:t xml:space="preserve">[Removed for double-anonymized review]</w:t>
      </w:r>
    </w:p>
    <w:p>
      <w:r>
        <w:pict>
          <v:rect style="width:0;height:1.5pt" o:hralign="center" o:hrstd="t" o:hr="t"/>
        </w:pict>
      </w:r>
    </w:p>
    <w:bookmarkEnd w:id="38"/>
    <w:bookmarkStart w:id="54"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p>
      <w:pPr>
        <w:pStyle w:val="CaptionedFigure"/>
      </w:pPr>
      <w:r>
        <w:drawing>
          <wp:inline>
            <wp:extent cx="5334000" cy="4445000"/>
            <wp:effectExtent b="0" l="0" r="0" t="0"/>
            <wp:docPr descr="Fig. 1. Study design and representative CAFI." title="" id="40" name="Picture"/>
            <a:graphic>
              <a:graphicData uri="http://schemas.openxmlformats.org/drawingml/2006/picture">
                <pic:pic>
                  <pic:nvPicPr>
                    <pic:cNvPr descr="../output/figures/manuscript/fig1_study_design.png" id="41" name="Picture"/>
                    <pic:cNvPicPr>
                      <a:picLocks noChangeArrowheads="1" noChangeAspect="1"/>
                    </pic:cNvPicPr>
                  </pic:nvPicPr>
                  <pic:blipFill>
                    <a:blip r:embed="rId3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p>
      <w:pPr>
        <w:pStyle w:val="CaptionedFigure"/>
      </w:pPr>
      <w:r>
        <w:drawing>
          <wp:inline>
            <wp:extent cx="3208795" cy="7211394"/>
            <wp:effectExtent b="0" l="0" r="0" t="0"/>
            <wp:docPr descr="Fig. 2. CAFI scaling with coral volume." title="" id="43" name="Picture"/>
            <a:graphic>
              <a:graphicData uri="http://schemas.openxmlformats.org/drawingml/2006/picture">
                <pic:pic>
                  <pic:nvPicPr>
                    <pic:cNvPr descr="../output/figures/manuscript/fig2_scaling.png" id="44" name="Picture"/>
                    <pic:cNvPicPr>
                      <a:picLocks noChangeArrowheads="1" noChangeAspect="1"/>
                    </pic:cNvPicPr>
                  </pic:nvPicPr>
                  <pic:blipFill>
                    <a:blip r:embed="rId42"/>
                    <a:stretch>
                      <a:fillRect/>
                    </a:stretch>
                  </pic:blipFill>
                  <pic:spPr bwMode="auto">
                    <a:xfrm>
                      <a:off x="0" y="0"/>
                      <a:ext cx="3208795" cy="7211394"/>
                    </a:xfrm>
                    <a:prstGeom prst="rect">
                      <a:avLst/>
                    </a:prstGeom>
                    <a:noFill/>
                    <a:ln w="9525">
                      <a:noFill/>
                      <a:headEnd/>
                      <a:tailEnd/>
                    </a:ln>
                  </pic:spPr>
                </pic:pic>
              </a:graphicData>
            </a:graphic>
          </wp:inline>
        </w:drawing>
      </w:r>
    </w:p>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p>
      <w:pPr>
        <w:pStyle w:val="CaptionedFigure"/>
      </w:pPr>
      <w:r>
        <w:drawing>
          <wp:inline>
            <wp:extent cx="5334000" cy="5246375"/>
            <wp:effectExtent b="0" l="0" r="0" t="0"/>
            <wp:docPr descr="Fig. 3. Species and group scaling." title="" id="46" name="Picture"/>
            <a:graphic>
              <a:graphicData uri="http://schemas.openxmlformats.org/drawingml/2006/picture">
                <pic:pic>
                  <pic:nvPicPr>
                    <pic:cNvPr descr="../output/figures/manuscript/fig3_species_group_scaling.png" id="47" name="Picture"/>
                    <pic:cNvPicPr>
                      <a:picLocks noChangeArrowheads="1" noChangeAspect="1"/>
                    </pic:cNvPicPr>
                  </pic:nvPicPr>
                  <pic:blipFill>
                    <a:blip r:embed="rId45"/>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p>
      <w:pPr>
        <w:pStyle w:val="CaptionedFigure"/>
      </w:pPr>
      <w:r>
        <w:drawing>
          <wp:inline>
            <wp:extent cx="5334000" cy="3206323"/>
            <wp:effectExtent b="0" l="0" r="0" t="0"/>
            <wp:docPr descr="Fig. 4. Community composition." title="" id="49" name="Picture"/>
            <a:graphic>
              <a:graphicData uri="http://schemas.openxmlformats.org/drawingml/2006/picture">
                <pic:pic>
                  <pic:nvPicPr>
                    <pic:cNvPr descr="../output/figures/manuscript/fig4_composition.png" id="50" name="Picture"/>
                    <pic:cNvPicPr>
                      <a:picLocks noChangeArrowheads="1" noChangeAspect="1"/>
                    </pic:cNvPicPr>
                  </pic:nvPicPr>
                  <pic:blipFill>
                    <a:blip r:embed="rId48"/>
                    <a:stretch>
                      <a:fillRect/>
                    </a:stretch>
                  </pic:blipFill>
                  <pic:spPr bwMode="auto">
                    <a:xfrm>
                      <a:off x="0" y="0"/>
                      <a:ext cx="5334000" cy="3206323"/>
                    </a:xfrm>
                    <a:prstGeom prst="rect">
                      <a:avLst/>
                    </a:prstGeom>
                    <a:noFill/>
                    <a:ln w="9525">
                      <a:noFill/>
                      <a:headEnd/>
                      <a:tailEnd/>
                    </a:ln>
                  </pic:spPr>
                </pic:pic>
              </a:graphicData>
            </a:graphic>
          </wp:inline>
        </w:drawing>
      </w:r>
    </w:p>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p>
      <w:pPr>
        <w:pStyle w:val="CaptionedFigure"/>
      </w:pPr>
      <w:r>
        <w:drawing>
          <wp:inline>
            <wp:extent cx="5334000" cy="2915064"/>
            <wp:effectExtent b="0" l="0" r="0" t="0"/>
            <wp:docPr descr="Fig. 5. BEF diversity-condition." title="" id="52" name="Picture"/>
            <a:graphic>
              <a:graphicData uri="http://schemas.openxmlformats.org/drawingml/2006/picture">
                <pic:pic>
                  <pic:nvPicPr>
                    <pic:cNvPr descr="../output/figures/manuscript/fig5_feedbacks.png" id="53" name="Picture"/>
                    <pic:cNvPicPr>
                      <a:picLocks noChangeArrowheads="1" noChangeAspect="1"/>
                    </pic:cNvPicPr>
                  </pic:nvPicPr>
                  <pic:blipFill>
                    <a:blip r:embed="rId51"/>
                    <a:stretch>
                      <a:fillRect/>
                    </a:stretch>
                  </pic:blipFill>
                  <pic:spPr bwMode="auto">
                    <a:xfrm>
                      <a:off x="0" y="0"/>
                      <a:ext cx="5334000" cy="2915064"/>
                    </a:xfrm>
                    <a:prstGeom prst="rect">
                      <a:avLst/>
                    </a:prstGeom>
                    <a:noFill/>
                    <a:ln w="9525">
                      <a:noFill/>
                      <a:headEnd/>
                      <a:tailEnd/>
                    </a:ln>
                  </pic:spPr>
                </pic:pic>
              </a:graphicData>
            </a:graphic>
          </wp:inline>
        </w:drawing>
      </w:r>
    </w:p>
    <w:p>
      <w:pPr>
        <w:pStyle w:val="ImageCaption"/>
      </w:pPr>
      <w:r>
        <w:t xml:space="preserve">Fig. 5. BEF diversity-condition.</w:t>
      </w:r>
    </w:p>
    <w:p>
      <w:r>
        <w:pict>
          <v:rect style="width:0;height:1.5pt" o:hralign="center" o:hrstd="t" o:hr="t"/>
        </w:pict>
      </w:r>
    </w:p>
    <w:bookmarkEnd w:id="54"/>
    <w:bookmarkStart w:id="108" w:name="references"/>
    <w:p>
      <w:pPr>
        <w:pStyle w:val="Heading2"/>
      </w:pPr>
      <w:r>
        <w:t xml:space="preserve">References</w:t>
      </w:r>
    </w:p>
    <w:bookmarkStart w:id="107" w:name="refs"/>
    <w:bookmarkStart w:id="56"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55">
        <w:r>
          <w:rPr>
            <w:rStyle w:val="Hyperlink"/>
          </w:rPr>
          <w:t xml:space="preserve">https://doi.org/10.2307/3038097</w:t>
        </w:r>
      </w:hyperlink>
    </w:p>
    <w:bookmarkEnd w:id="56"/>
    <w:bookmarkStart w:id="58"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57">
        <w:r>
          <w:rPr>
            <w:rStyle w:val="Hyperlink"/>
          </w:rPr>
          <w:t xml:space="preserve">https://doi.org/10.1016/j.jembe.2004.12.023</w:t>
        </w:r>
      </w:hyperlink>
    </w:p>
    <w:bookmarkEnd w:id="58"/>
    <w:bookmarkStart w:id="60"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59">
        <w:r>
          <w:rPr>
            <w:rStyle w:val="Hyperlink"/>
          </w:rPr>
          <w:t xml:space="preserve">https://doi.org/10.1016/0169-5347(94)90246-1</w:t>
        </w:r>
      </w:hyperlink>
    </w:p>
    <w:bookmarkEnd w:id="60"/>
    <w:bookmarkStart w:id="62"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61">
        <w:r>
          <w:rPr>
            <w:rStyle w:val="Hyperlink"/>
          </w:rPr>
          <w:t xml:space="preserve">https://doi.org/10.1002/ecy.3324</w:t>
        </w:r>
      </w:hyperlink>
    </w:p>
    <w:bookmarkEnd w:id="62"/>
    <w:bookmarkStart w:id="64"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63">
        <w:r>
          <w:rPr>
            <w:rStyle w:val="Hyperlink"/>
          </w:rPr>
          <w:t xml:space="preserve">https://doi.org/10.1007/BF00390685</w:t>
        </w:r>
      </w:hyperlink>
    </w:p>
    <w:bookmarkEnd w:id="64"/>
    <w:bookmarkStart w:id="66" w:name="ref-Chase2011"/>
    <w:p>
      <w:pPr>
        <w:pStyle w:val="Bibliography"/>
      </w:pPr>
      <w:r>
        <w:t xml:space="preserve">Chase, J. M., Kraft, N. J. B., Smith, K. G., Vellend, M., &amp; Inouye, B. D. (2011). 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w:t>
      </w:r>
      <w:r>
        <w:t xml:space="preserve"> </w:t>
      </w:r>
      <w:r>
        <w:rPr>
          <w:i/>
          <w:iCs/>
        </w:rPr>
        <w:t xml:space="preserve">2</w:t>
      </w:r>
      <w:r>
        <w:t xml:space="preserve">(2), art24.</w:t>
      </w:r>
      <w:r>
        <w:t xml:space="preserve"> </w:t>
      </w:r>
      <w:hyperlink r:id="rId65">
        <w:r>
          <w:rPr>
            <w:rStyle w:val="Hyperlink"/>
          </w:rPr>
          <w:t xml:space="preserve">https://doi.org/10.1890/ES10-00117.1</w:t>
        </w:r>
      </w:hyperlink>
    </w:p>
    <w:bookmarkEnd w:id="66"/>
    <w:bookmarkStart w:id="68"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67">
        <w:r>
          <w:rPr>
            <w:rStyle w:val="Hyperlink"/>
          </w:rPr>
          <w:t xml:space="preserve">https://doi.org/10.1371/journal.pone.0208545</w:t>
        </w:r>
      </w:hyperlink>
    </w:p>
    <w:bookmarkEnd w:id="68"/>
    <w:bookmarkStart w:id="70"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69">
        <w:r>
          <w:rPr>
            <w:rStyle w:val="Hyperlink"/>
          </w:rPr>
          <w:t xml:space="preserve">https://doi.org/10.1007/s00338-018-1709-7</w:t>
        </w:r>
      </w:hyperlink>
    </w:p>
    <w:bookmarkEnd w:id="70"/>
    <w:bookmarkStart w:id="72"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71">
        <w:r>
          <w:rPr>
            <w:rStyle w:val="Hyperlink"/>
          </w:rPr>
          <w:t xml:space="preserve">https://doi.org/10.2307/5880</w:t>
        </w:r>
      </w:hyperlink>
    </w:p>
    <w:bookmarkEnd w:id="72"/>
    <w:bookmarkStart w:id="73"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73"/>
    <w:bookmarkStart w:id="75"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74">
        <w:r>
          <w:rPr>
            <w:rStyle w:val="Hyperlink"/>
          </w:rPr>
          <w:t xml:space="preserve">https://doi.org/10.1126/sciadv.1500052</w:t>
        </w:r>
      </w:hyperlink>
    </w:p>
    <w:bookmarkEnd w:id="75"/>
    <w:bookmarkStart w:id="77"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76">
        <w:r>
          <w:rPr>
            <w:rStyle w:val="Hyperlink"/>
          </w:rPr>
          <w:t xml:space="preserve">https://doi.org/10.1007/s12080-017-0352-1</w:t>
        </w:r>
      </w:hyperlink>
    </w:p>
    <w:bookmarkEnd w:id="77"/>
    <w:bookmarkStart w:id="79"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78">
        <w:r>
          <w:rPr>
            <w:rStyle w:val="Hyperlink"/>
          </w:rPr>
          <w:t xml:space="preserve">https://doi.org/10.1126/science.286.5442.1123</w:t>
        </w:r>
      </w:hyperlink>
    </w:p>
    <w:bookmarkEnd w:id="79"/>
    <w:bookmarkStart w:id="81"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80">
        <w:r>
          <w:rPr>
            <w:rStyle w:val="Hyperlink"/>
          </w:rPr>
          <w:t xml:space="preserve">https://doi.org/10.1007/s00227-008-1051-7</w:t>
        </w:r>
      </w:hyperlink>
    </w:p>
    <w:bookmarkEnd w:id="81"/>
    <w:bookmarkStart w:id="83"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82">
        <w:r>
          <w:rPr>
            <w:rStyle w:val="Hyperlink"/>
          </w:rPr>
          <w:t xml:space="preserve">https://doi.org/10.3354/meps030021</w:t>
        </w:r>
      </w:hyperlink>
    </w:p>
    <w:bookmarkEnd w:id="83"/>
    <w:bookmarkStart w:id="85"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84">
        <w:r>
          <w:rPr>
            <w:rStyle w:val="Hyperlink"/>
          </w:rPr>
          <w:t xml:space="preserve">https://doi.org/10.1111/mec.16556</w:t>
        </w:r>
      </w:hyperlink>
    </w:p>
    <w:bookmarkEnd w:id="85"/>
    <w:bookmarkStart w:id="87"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86">
        <w:r>
          <w:rPr>
            <w:rStyle w:val="Hyperlink"/>
          </w:rPr>
          <w:t xml:space="preserve">https://doi.org/10.1038/nature06970</w:t>
        </w:r>
      </w:hyperlink>
    </w:p>
    <w:bookmarkEnd w:id="87"/>
    <w:bookmarkStart w:id="89"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88">
        <w:r>
          <w:rPr>
            <w:rStyle w:val="Hyperlink"/>
          </w:rPr>
          <w:t xml:space="preserve">https://doi.org/10.1146/annurev.en.28.010183.000323</w:t>
        </w:r>
      </w:hyperlink>
    </w:p>
    <w:bookmarkEnd w:id="89"/>
    <w:bookmarkStart w:id="90"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90"/>
    <w:bookmarkStart w:id="92"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91">
        <w:r>
          <w:rPr>
            <w:rStyle w:val="Hyperlink"/>
          </w:rPr>
          <w:t xml:space="preserve">https://doi.org/10.1007/s00442-012-2275-2</w:t>
        </w:r>
      </w:hyperlink>
    </w:p>
    <w:bookmarkEnd w:id="92"/>
    <w:bookmarkStart w:id="94"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93">
        <w:r>
          <w:rPr>
            <w:rStyle w:val="Hyperlink"/>
          </w:rPr>
          <w:t xml:space="preserve">https://doi.org/10.1111/j.1365-2656.2005.00913.x</w:t>
        </w:r>
      </w:hyperlink>
    </w:p>
    <w:bookmarkEnd w:id="94"/>
    <w:bookmarkStart w:id="96"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95">
        <w:r>
          <w:rPr>
            <w:rStyle w:val="Hyperlink"/>
          </w:rPr>
          <w:t xml:space="preserve">https://doi.org/10.1371/journal.pone.0135928</w:t>
        </w:r>
      </w:hyperlink>
    </w:p>
    <w:bookmarkEnd w:id="96"/>
    <w:bookmarkStart w:id="98"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97">
        <w:r>
          <w:rPr>
            <w:rStyle w:val="Hyperlink"/>
          </w:rPr>
          <w:t xml:space="preserve">https://doi.org/10.1098/rsbl.2010.0291</w:t>
        </w:r>
      </w:hyperlink>
    </w:p>
    <w:bookmarkEnd w:id="98"/>
    <w:bookmarkStart w:id="100"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99">
        <w:r>
          <w:rPr>
            <w:rStyle w:val="Hyperlink"/>
          </w:rPr>
          <w:t xml:space="preserve">https://doi.org/10.1111/gcb.16000</w:t>
        </w:r>
      </w:hyperlink>
    </w:p>
    <w:bookmarkEnd w:id="100"/>
    <w:bookmarkStart w:id="102"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101">
        <w:r>
          <w:rPr>
            <w:rStyle w:val="Hyperlink"/>
          </w:rPr>
          <w:t xml:space="preserve">https://doi.org/10.1007/s00442-013-2858-6</w:t>
        </w:r>
      </w:hyperlink>
    </w:p>
    <w:bookmarkEnd w:id="102"/>
    <w:bookmarkStart w:id="104"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103">
        <w:r>
          <w:rPr>
            <w:rStyle w:val="Hyperlink"/>
          </w:rPr>
          <w:t xml:space="preserve">https://doi.org/10.1371/journal.pone.0032079</w:t>
        </w:r>
      </w:hyperlink>
    </w:p>
    <w:bookmarkEnd w:id="104"/>
    <w:bookmarkStart w:id="106"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105">
        <w:r>
          <w:rPr>
            <w:rStyle w:val="Hyperlink"/>
          </w:rPr>
          <w:t xml:space="preserve">https://doi.org/10.1890/09-1993.1</w:t>
        </w:r>
      </w:hyperlink>
    </w:p>
    <w:bookmarkEnd w:id="106"/>
    <w:bookmarkEnd w:id="107"/>
    <w:p>
      <w:r>
        <w:pict>
          <v:rect style="width:0;height:1.5pt" o:hralign="center" o:hrstd="t" o:hr="t"/>
        </w:pict>
      </w:r>
    </w:p>
    <w:bookmarkEnd w:id="108"/>
    <w:bookmarkStart w:id="109"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(17 supplementary figures, 20 supplementary tables, supplementary methods).</w:t>
      </w:r>
    </w:p>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hyperlink" Id="rId61" Target="https://doi.org/10.1002/ecy.3324" TargetMode="External" /><Relationship Type="http://schemas.openxmlformats.org/officeDocument/2006/relationships/hyperlink" Id="rId63" Target="https://doi.org/10.1007/BF00390685" TargetMode="External" /><Relationship Type="http://schemas.openxmlformats.org/officeDocument/2006/relationships/hyperlink" Id="rId80" Target="https://doi.org/10.1007/s00227-008-1051-7" TargetMode="External" /><Relationship Type="http://schemas.openxmlformats.org/officeDocument/2006/relationships/hyperlink" Id="rId69" Target="https://doi.org/10.1007/s00338-018-1709-7" TargetMode="External" /><Relationship Type="http://schemas.openxmlformats.org/officeDocument/2006/relationships/hyperlink" Id="rId91" Target="https://doi.org/10.1007/s00442-012-2275-2" TargetMode="External" /><Relationship Type="http://schemas.openxmlformats.org/officeDocument/2006/relationships/hyperlink" Id="rId101" Target="https://doi.org/10.1007/s00442-013-2858-6" TargetMode="External" /><Relationship Type="http://schemas.openxmlformats.org/officeDocument/2006/relationships/hyperlink" Id="rId76" Target="https://doi.org/10.1007/s12080-017-0352-1" TargetMode="External" /><Relationship Type="http://schemas.openxmlformats.org/officeDocument/2006/relationships/hyperlink" Id="rId59" Target="https://doi.org/10.1016/0169-5347(94)90246-1" TargetMode="External" /><Relationship Type="http://schemas.openxmlformats.org/officeDocument/2006/relationships/hyperlink" Id="rId57" Target="https://doi.org/10.1016/j.jembe.2004.12.023" TargetMode="External" /><Relationship Type="http://schemas.openxmlformats.org/officeDocument/2006/relationships/hyperlink" Id="rId86" Target="https://doi.org/10.1038/nature06970" TargetMode="External" /><Relationship Type="http://schemas.openxmlformats.org/officeDocument/2006/relationships/hyperlink" Id="rId97" Target="https://doi.org/10.1098/rsbl.2010.0291" TargetMode="External" /><Relationship Type="http://schemas.openxmlformats.org/officeDocument/2006/relationships/hyperlink" Id="rId99" Target="https://doi.org/10.1111/gcb.16000" TargetMode="External" /><Relationship Type="http://schemas.openxmlformats.org/officeDocument/2006/relationships/hyperlink" Id="rId93" Target="https://doi.org/10.1111/j.1365-2656.2005.00913.x" TargetMode="External" /><Relationship Type="http://schemas.openxmlformats.org/officeDocument/2006/relationships/hyperlink" Id="rId84" Target="https://doi.org/10.1111/mec.16556" TargetMode="External" /><Relationship Type="http://schemas.openxmlformats.org/officeDocument/2006/relationships/hyperlink" Id="rId74" Target="https://doi.org/10.1126/sciadv.1500052" TargetMode="External" /><Relationship Type="http://schemas.openxmlformats.org/officeDocument/2006/relationships/hyperlink" Id="rId78" Target="https://doi.org/10.1126/science.286.5442.1123" TargetMode="External" /><Relationship Type="http://schemas.openxmlformats.org/officeDocument/2006/relationships/hyperlink" Id="rId88" Target="https://doi.org/10.1146/annurev.en.28.010183.000323" TargetMode="External" /><Relationship Type="http://schemas.openxmlformats.org/officeDocument/2006/relationships/hyperlink" Id="rId103" Target="https://doi.org/10.1371/journal.pone.0032079" TargetMode="External" /><Relationship Type="http://schemas.openxmlformats.org/officeDocument/2006/relationships/hyperlink" Id="rId95" Target="https://doi.org/10.1371/journal.pone.0135928" TargetMode="External" /><Relationship Type="http://schemas.openxmlformats.org/officeDocument/2006/relationships/hyperlink" Id="rId67" Target="https://doi.org/10.1371/journal.pone.0208545" TargetMode="External" /><Relationship Type="http://schemas.openxmlformats.org/officeDocument/2006/relationships/hyperlink" Id="rId105" Target="https://doi.org/10.1890/09-1993.1" TargetMode="External" /><Relationship Type="http://schemas.openxmlformats.org/officeDocument/2006/relationships/hyperlink" Id="rId65" Target="https://doi.org/10.1890/ES10-00117.1" TargetMode="External" /><Relationship Type="http://schemas.openxmlformats.org/officeDocument/2006/relationships/hyperlink" Id="rId55" Target="https://doi.org/10.2307/3038097" TargetMode="External" /><Relationship Type="http://schemas.openxmlformats.org/officeDocument/2006/relationships/hyperlink" Id="rId71" Target="https://doi.org/10.2307/5880" TargetMode="External" /><Relationship Type="http://schemas.openxmlformats.org/officeDocument/2006/relationships/hyperlink" Id="rId82"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02/ecy.3324" TargetMode="External" /><Relationship Type="http://schemas.openxmlformats.org/officeDocument/2006/relationships/hyperlink" Id="rId63" Target="https://doi.org/10.1007/BF00390685" TargetMode="External" /><Relationship Type="http://schemas.openxmlformats.org/officeDocument/2006/relationships/hyperlink" Id="rId80" Target="https://doi.org/10.1007/s00227-008-1051-7" TargetMode="External" /><Relationship Type="http://schemas.openxmlformats.org/officeDocument/2006/relationships/hyperlink" Id="rId69" Target="https://doi.org/10.1007/s00338-018-1709-7" TargetMode="External" /><Relationship Type="http://schemas.openxmlformats.org/officeDocument/2006/relationships/hyperlink" Id="rId91" Target="https://doi.org/10.1007/s00442-012-2275-2" TargetMode="External" /><Relationship Type="http://schemas.openxmlformats.org/officeDocument/2006/relationships/hyperlink" Id="rId101" Target="https://doi.org/10.1007/s00442-013-2858-6" TargetMode="External" /><Relationship Type="http://schemas.openxmlformats.org/officeDocument/2006/relationships/hyperlink" Id="rId76" Target="https://doi.org/10.1007/s12080-017-0352-1" TargetMode="External" /><Relationship Type="http://schemas.openxmlformats.org/officeDocument/2006/relationships/hyperlink" Id="rId59" Target="https://doi.org/10.1016/0169-5347(94)90246-1" TargetMode="External" /><Relationship Type="http://schemas.openxmlformats.org/officeDocument/2006/relationships/hyperlink" Id="rId57" Target="https://doi.org/10.1016/j.jembe.2004.12.023" TargetMode="External" /><Relationship Type="http://schemas.openxmlformats.org/officeDocument/2006/relationships/hyperlink" Id="rId86" Target="https://doi.org/10.1038/nature06970" TargetMode="External" /><Relationship Type="http://schemas.openxmlformats.org/officeDocument/2006/relationships/hyperlink" Id="rId97" Target="https://doi.org/10.1098/rsbl.2010.0291" TargetMode="External" /><Relationship Type="http://schemas.openxmlformats.org/officeDocument/2006/relationships/hyperlink" Id="rId99" Target="https://doi.org/10.1111/gcb.16000" TargetMode="External" /><Relationship Type="http://schemas.openxmlformats.org/officeDocument/2006/relationships/hyperlink" Id="rId93" Target="https://doi.org/10.1111/j.1365-2656.2005.00913.x" TargetMode="External" /><Relationship Type="http://schemas.openxmlformats.org/officeDocument/2006/relationships/hyperlink" Id="rId84" Target="https://doi.org/10.1111/mec.16556" TargetMode="External" /><Relationship Type="http://schemas.openxmlformats.org/officeDocument/2006/relationships/hyperlink" Id="rId74" Target="https://doi.org/10.1126/sciadv.1500052" TargetMode="External" /><Relationship Type="http://schemas.openxmlformats.org/officeDocument/2006/relationships/hyperlink" Id="rId78" Target="https://doi.org/10.1126/science.286.5442.1123" TargetMode="External" /><Relationship Type="http://schemas.openxmlformats.org/officeDocument/2006/relationships/hyperlink" Id="rId88" Target="https://doi.org/10.1146/annurev.en.28.010183.000323" TargetMode="External" /><Relationship Type="http://schemas.openxmlformats.org/officeDocument/2006/relationships/hyperlink" Id="rId103" Target="https://doi.org/10.1371/journal.pone.0032079" TargetMode="External" /><Relationship Type="http://schemas.openxmlformats.org/officeDocument/2006/relationships/hyperlink" Id="rId95" Target="https://doi.org/10.1371/journal.pone.0135928" TargetMode="External" /><Relationship Type="http://schemas.openxmlformats.org/officeDocument/2006/relationships/hyperlink" Id="rId67" Target="https://doi.org/10.1371/journal.pone.0208545" TargetMode="External" /><Relationship Type="http://schemas.openxmlformats.org/officeDocument/2006/relationships/hyperlink" Id="rId105" Target="https://doi.org/10.1890/09-1993.1" TargetMode="External" /><Relationship Type="http://schemas.openxmlformats.org/officeDocument/2006/relationships/hyperlink" Id="rId65" Target="https://doi.org/10.1890/ES10-00117.1" TargetMode="External" /><Relationship Type="http://schemas.openxmlformats.org/officeDocument/2006/relationships/hyperlink" Id="rId55" Target="https://doi.org/10.2307/3038097" TargetMode="External" /><Relationship Type="http://schemas.openxmlformats.org/officeDocument/2006/relationships/hyperlink" Id="rId71" Target="https://doi.org/10.2307/5880" TargetMode="External" /><Relationship Type="http://schemas.openxmlformats.org/officeDocument/2006/relationships/hyperlink" Id="rId82"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2026-03-24T13:25:54Z</dcterms:created>
  <dcterms:modified xsi:type="dcterms:W3CDTF">2026-03-24T13:25:54Z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journal-of-animal-ecology.csl</vt:lpwstr>
  </property>
  <property fmtid="{D5CDD505-2E9C-101B-9397-08002B2CF9AE}" pid="4" name="link-citations">
    <vt:lpwstr>True</vt:lpwstr>
  </property>
</Properties>
</file>