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10" w:name="X833a375cd9ba65dbf46f3ef06ef724ad27fb6a5"/>
    <w:p>
      <w:pPr>
        <w:pStyle w:val="Heading1"/>
      </w:pPr>
      <w:r>
        <w:t xml:space="preserve">Colony size drives sublinear scaling, compositional turnover, and biodiversity–condition feedbacks in coral-associated fauna</w:t>
      </w:r>
    </w:p>
    <w:p>
      <w:pPr>
        <w:pStyle w:val="FirstParagraph"/>
      </w:pPr>
      <w:r>
        <w:t xml:space="preserve">Adrian C. Stier</w:t>
      </w:r>
      <w:r>
        <w:rPr>
          <w:vertAlign w:val="superscript"/>
        </w:rPr>
        <w:t xml:space="preserve">1,2</w:t>
      </w:r>
      <w:r>
        <w:t xml:space="preserve">*, Alexander Primo</w:t>
      </w:r>
      <w:r>
        <w:rPr>
          <w:vertAlign w:val="superscript"/>
        </w:rPr>
        <w:t xml:space="preserve">3</w:t>
      </w:r>
      <w:r>
        <w:t xml:space="preserve">, Joseph S. Curtis</w:t>
      </w:r>
      <w:r>
        <w:rPr>
          <w:vertAlign w:val="superscript"/>
        </w:rPr>
        <w:t xml:space="preserve">1,4</w:t>
      </w:r>
      <w:r>
        <w:t xml:space="preserve">, Craig W. Osenberg</w:t>
      </w:r>
      <w:r>
        <w:rPr>
          <w:vertAlign w:val="superscript"/>
        </w:rPr>
        <w:t xml:space="preserve">3</w:t>
      </w:r>
    </w:p>
    <w:p>
      <w:pPr>
        <w:pStyle w:val="BodyText"/>
      </w:pPr>
      <w:r>
        <w:rPr>
          <w:vertAlign w:val="superscript"/>
        </w:rPr>
        <w:t xml:space="preserve">1</w:t>
      </w:r>
      <w:r>
        <w:t xml:space="preserve">Department of Ecology, Evolution, and Marine Biology, University of California Santa Barbara, Santa Barbara, CA 93106, USA</w:t>
      </w:r>
    </w:p>
    <w:p>
      <w:pPr>
        <w:pStyle w:val="BodyText"/>
      </w:pPr>
      <w:r>
        <w:rPr>
          <w:vertAlign w:val="superscript"/>
        </w:rPr>
        <w:t xml:space="preserve">2</w:t>
      </w:r>
      <w:r>
        <w:t xml:space="preserve">Marine Science Institute, University of California Santa Barbara, Santa Barbara, CA 93106, USA</w:t>
      </w:r>
    </w:p>
    <w:p>
      <w:pPr>
        <w:pStyle w:val="BodyText"/>
      </w:pPr>
      <w:r>
        <w:rPr>
          <w:vertAlign w:val="superscript"/>
        </w:rPr>
        <w:t xml:space="preserve">3</w:t>
      </w:r>
      <w:r>
        <w:t xml:space="preserve">Odum School of Ecology, University of Georgia, 140 E Green St, Athens, GA 30602, USA</w:t>
      </w:r>
    </w:p>
    <w:p>
      <w:pPr>
        <w:pStyle w:val="BodyText"/>
      </w:pPr>
      <w:r>
        <w:rPr>
          <w:vertAlign w:val="superscript"/>
        </w:rPr>
        <w:t xml:space="preserve">4</w:t>
      </w:r>
      <w:r>
        <w:t xml:space="preserve">Department of Marine Science, University of Otago, PO Box 56, Dunedin, Otago 9054, New Zealand</w:t>
      </w:r>
    </w:p>
    <w:p>
      <w:pPr>
        <w:pStyle w:val="BodyText"/>
      </w:pPr>
      <w:r>
        <w:t xml:space="preserve">*Corresponding author: Adrian C. Stier (astier@ucsb.edu)</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(Stier et al.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(Stier et al.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the companion manipulation experiment</w:t>
      </w:r>
      <w:r>
        <w:t xml:space="preserve"> </w:t>
      </w:r>
      <w:r>
        <w:t xml:space="preserve">(</w:t>
      </w:r>
      <w:hyperlink w:anchor="ref-StierInReview">
        <w:r>
          <w:rPr>
            <w:rStyle w:val="Hyperlink"/>
          </w:rPr>
          <w:t xml:space="preserve">Stier et al., in review</w:t>
        </w:r>
      </w:hyperlink>
      <w:r>
        <w:t xml:space="preserve">)</w:t>
      </w:r>
      <w:r>
        <w:t xml:space="preserve"> </w:t>
      </w:r>
      <w:r>
        <w:t xml:space="preserve">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w:t>
      </w:r>
      <w:r>
        <w:t xml:space="preserve"> </w:t>
      </w:r>
      <w:r>
        <w:t xml:space="preserve">(</w:t>
      </w:r>
      <w:hyperlink w:anchor="ref-StierInReview">
        <w:r>
          <w:rPr>
            <w:rStyle w:val="Hyperlink"/>
          </w:rPr>
          <w:t xml:space="preserve">Stier et al., in review</w:t>
        </w:r>
      </w:hyperlink>
      <w:r>
        <w:t xml:space="preserve">)</w:t>
      </w:r>
      <w:r>
        <w:t xml:space="preserve">,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the implication is a mediation chain: genotype blueprints colony architecture, and CAFI colonize based on that architecture – blind to the genome that built it. There is no residual genotype effect beyond geometry: no chemical cue, immune compatibility, or behavioral preference tied to coral species drives community assembly independently of the physical habitat. If this mediation holds, conditioning on morphotype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We thank the many people who contributed to establishing and maintaining the field surveys, as well as M. Brzezinski and D. Cryan for assistance with data management and laboratory work and C. Wall, C. Bove, and J. Baumann for guidance on coral physiological protocols. We are grateful to the staff of the University of California Gump Research Station for their logistical and technical support, and to the Moorea Coral Reef LTER, UCSB Ocean Recoveries Lab, and UGA Osenberg Lab for their insights. Research was conducted under permits issued by the Territorial Government of French Polynesia (Délégation à la Recherche) and the Haut-commissariat de la République en Polynésie Française (DTRT) (Protocole d’Accueil), whose continued support we greatly appreciate. This work was supported by the National Science Foundation (OCE-1851510 and OCE-1851032).</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ACS and CWO conceived the project. AP and JSC conducted the majority of the fieldwork, laboratory, and image analyses. ACS performed the analyses and drafted the figures with input from CWO. ACS wrote the first draft, and ACS and CWO contributed substantially to revisions.</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The authors declare no conflicts of interest.</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8" w:name="references"/>
    <w:p>
      <w:pPr>
        <w:pStyle w:val="Heading2"/>
      </w:pPr>
      <w:r>
        <w:t xml:space="preserve">References</w:t>
      </w:r>
    </w:p>
    <w:bookmarkStart w:id="107"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Start w:id="106" w:name="ref-StierInReview"/>
    <w:p>
      <w:pPr>
        <w:pStyle w:val="Bibliography"/>
      </w:pPr>
      <w:r>
        <w:t xml:space="preserve">Stier, A. C., Primo, C., Curtis, J. S., &amp; Osenberg, C. W. (in review). Habitat quantity drives community assembly and biodiversity-ecosystem function relationships in coral reef fauna.</w:t>
      </w:r>
      <w:r>
        <w:t xml:space="preserve"> </w:t>
      </w:r>
      <w:r>
        <w:rPr>
          <w:i/>
          <w:iCs/>
        </w:rPr>
        <w:t xml:space="preserve">[journal to be confirmed]</w:t>
      </w:r>
      <w:r>
        <w:t xml:space="preserve">.</w:t>
      </w:r>
    </w:p>
    <w:bookmarkEnd w:id="106"/>
    <w:bookmarkEnd w:id="107"/>
    <w:p>
      <w:r>
        <w:pict>
          <v:rect style="width:0;height:1.5pt" o:hralign="center" o:hrstd="t" o:hr="t"/>
        </w:pict>
      </w:r>
    </w:p>
    <w:bookmarkEnd w:id="108"/>
    <w:bookmarkStart w:id="109"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2026-03-23T21:55:29Z</dcterms:created>
  <dcterms:modified xsi:type="dcterms:W3CDTF">2026-03-23T21:55:29Z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