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09"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([Anonymous,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([Anonymous,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a companion manipulation experiment ([Anonymous, in review]) 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 ([Anonymous, in review]),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likely captures variation in branching architecture and interstitial space that determines which CAFI can colonize – the implication is a mediation chain: genotype blueprints colony architecture, and CAFI colonize based on that architecture – blind to the genome that built it. There is no residual genotype effect beyond geometry: no chemical cue, immune compatibility, or behavioral preference tied to coral species drives community assembly independently of the physical habitat. If this mediation holds, conditioning on morphotype masks the very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7" w:name="references"/>
    <w:p>
      <w:pPr>
        <w:pStyle w:val="Heading2"/>
      </w:pPr>
      <w:r>
        <w:t xml:space="preserve">References</w:t>
      </w:r>
    </w:p>
    <w:bookmarkStart w:id="106"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End w:id="106"/>
    <w:p>
      <w:r>
        <w:pict>
          <v:rect style="width:0;height:1.5pt" o:hralign="center" o:hrstd="t" o:hr="t"/>
        </w:pict>
      </w:r>
    </w:p>
    <w:bookmarkEnd w:id="107"/>
    <w:bookmarkStart w:id="108"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2026-03-23T21:55:30Z</dcterms:created>
  <dcterms:modified xsi:type="dcterms:W3CDTF">2026-03-23T21:55:30Z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