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582F" w:rsidRDefault="00000000">
      <w:pPr>
        <w:spacing w:after="100"/>
      </w:pPr>
      <w:r>
        <w:rPr>
          <w:b/>
          <w:bCs/>
          <w:sz w:val="36"/>
          <w:szCs w:val="36"/>
        </w:rPr>
        <w:t>RSE Manuscript — Figure Plan</w:t>
      </w:r>
    </w:p>
    <w:p w:rsidR="0092582F" w:rsidRDefault="00000000">
      <w:pPr>
        <w:pStyle w:val="Heading1"/>
      </w:pPr>
      <w:r>
        <w:t xml:space="preserve">Story </w:t>
      </w:r>
    </w:p>
    <w:p w:rsidR="0092582F" w:rsidRDefault="00000000">
      <w:pPr>
        <w:pStyle w:val="ListParagraph"/>
        <w:numPr>
          <w:ilvl w:val="0"/>
          <w:numId w:val="2"/>
        </w:numPr>
        <w:spacing w:after="60"/>
      </w:pPr>
      <w:r>
        <w:t>Framework. Coral restoration is scaling but lacks decision-support that links supply-chain choices — nursery vs. reef allocation, outplant size class, grow-out duration — to population outcomes. We built a size-structured demographic model spanning the full Lab → Orchard → Reef pipeline with explicit decision points and integrated cost accounting, so allocation tradeoffs can be evaluated against both ecological gains and ROI. (Fig 1)</w:t>
      </w:r>
    </w:p>
    <w:p w:rsidR="0092582F" w:rsidRDefault="00000000">
      <w:pPr>
        <w:pStyle w:val="ListParagraph"/>
        <w:numPr>
          <w:ilvl w:val="0"/>
          <w:numId w:val="2"/>
        </w:numPr>
        <w:spacing w:after="60"/>
      </w:pPr>
      <w:r>
        <w:t>The population is declining (λ &lt; 1). Restoration props up a sink — meaningful gains without disturbance, modest gains with it. Severity dominates frequency: prepare for bad years, not frequent ones. (Fig 2)</w:t>
      </w:r>
    </w:p>
    <w:p w:rsidR="0092582F" w:rsidRDefault="00000000">
      <w:pPr>
        <w:pStyle w:val="ListParagraph"/>
        <w:numPr>
          <w:ilvl w:val="0"/>
          <w:numId w:val="2"/>
        </w:numPr>
        <w:spacing w:after="60"/>
      </w:pPr>
      <w:r>
        <w:t>Nursery investment matters, especially under disturbance. Defended empirically using Fundemar nursery-vs-field survival data (Option A). The portfolio asymmetry — nursery corals can be protected, replaced, moved — is a secondary supporting argument in the Discussion. (Fig 3)</w:t>
      </w:r>
    </w:p>
    <w:p w:rsidR="0092582F" w:rsidRDefault="00000000">
      <w:pPr>
        <w:pStyle w:val="ListParagraph"/>
        <w:numPr>
          <w:ilvl w:val="0"/>
          <w:numId w:val="2"/>
        </w:numPr>
        <w:spacing w:after="60"/>
      </w:pPr>
      <w:r>
        <w:t>Grow to SC2 before outplanting. 30,000 SC2s produce more large adults than a few hundred SC5s — and the advantage survives the honest test: at equal budget, grow-out still beats scaling up a SC1 lab. (Fig 4)</w:t>
      </w:r>
    </w:p>
    <w:p w:rsidR="0092582F" w:rsidRDefault="00000000">
      <w:pPr>
        <w:pStyle w:val="Heading1"/>
      </w:pPr>
      <w:r>
        <w:t>Figure 1 — Model Schematic (drafted)</w:t>
      </w:r>
    </w:p>
    <w:p w:rsidR="0092582F" w:rsidRDefault="00000000">
      <w:pPr>
        <w:spacing w:after="120"/>
      </w:pPr>
      <w:r>
        <w:t>Lab → Orchard → Reef pipeline, 5 size classes, 3 decision points, 6 output metrics, IAN A. palmata silhouettes.</w:t>
      </w:r>
    </w:p>
    <w:p w:rsidR="0092582F" w:rsidRDefault="00000000">
      <w:pPr>
        <w:spacing w:after="120"/>
      </w:pPr>
      <w:r>
        <w:t>Status: drafted. In figure-1/. Raine to review.</w:t>
      </w:r>
    </w:p>
    <w:p w:rsidR="0092582F" w:rsidRDefault="00000000">
      <w:pPr>
        <w:spacing w:after="120"/>
      </w:pPr>
      <w:r>
        <w:t>Hero paper reference: Anthony et al. 2017 — portfolio-of-interventions framing.</w:t>
      </w:r>
    </w:p>
    <w:p w:rsidR="0092582F" w:rsidRDefault="00000000">
      <w:pPr>
        <w:pStyle w:val="Heading1"/>
      </w:pPr>
      <w:r>
        <w:t>Figure 2 — Baseline Dynamics</w:t>
      </w:r>
    </w:p>
    <w:p w:rsidR="0092582F" w:rsidRDefault="00000000">
      <w:pPr>
        <w:spacing w:after="120"/>
      </w:pPr>
      <w:r>
        <w:t>Establishes the problem and the constraints. Three panels.</w:t>
      </w:r>
    </w:p>
    <w:p w:rsidR="0092582F" w:rsidRDefault="00000000">
      <w:pPr>
        <w:pStyle w:val="Heading3"/>
      </w:pPr>
      <w:r>
        <w:t>Panel sketch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582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6B7A90"/>
              <w:left w:val="single" w:sz="6" w:space="0" w:color="6B7A90"/>
              <w:bottom w:val="single" w:sz="6" w:space="0" w:color="6B7A90"/>
              <w:right w:val="single" w:sz="6" w:space="0" w:color="6B7A90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:rsidR="0092582F" w:rsidRDefault="0092582F"/>
          <w:p w:rsidR="0092582F" w:rsidRDefault="0092582F"/>
          <w:p w:rsidR="0092582F" w:rsidRDefault="00000000">
            <w:pPr>
              <w:spacing w:after="80"/>
              <w:jc w:val="center"/>
            </w:pPr>
            <w:r>
              <w:rPr>
                <w:b/>
                <w:bCs/>
                <w:color w:val="1F3A5F"/>
              </w:rPr>
              <w:t>2A  Quasi-extinction P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bars: none / 50% / 100% to reef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across 100 parameter sets</w:t>
            </w:r>
          </w:p>
          <w:p w:rsidR="0092582F" w:rsidRDefault="0092582F"/>
          <w:p w:rsidR="0092582F" w:rsidRDefault="0092582F"/>
        </w:tc>
        <w:tc>
          <w:tcPr>
            <w:tcW w:w="3120" w:type="dxa"/>
            <w:tcBorders>
              <w:top w:val="single" w:sz="6" w:space="0" w:color="6B7A90"/>
              <w:left w:val="single" w:sz="6" w:space="0" w:color="6B7A90"/>
              <w:bottom w:val="single" w:sz="6" w:space="0" w:color="6B7A90"/>
              <w:right w:val="single" w:sz="6" w:space="0" w:color="6B7A90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:rsidR="0092582F" w:rsidRDefault="0092582F"/>
          <w:p w:rsidR="0092582F" w:rsidRDefault="0092582F"/>
          <w:p w:rsidR="0092582F" w:rsidRDefault="00000000">
            <w:pPr>
              <w:spacing w:after="80"/>
              <w:jc w:val="center"/>
            </w:pPr>
            <w:r>
              <w:rPr>
                <w:b/>
                <w:bCs/>
                <w:color w:val="1F3A5F"/>
              </w:rPr>
              <w:t>2B  Reef cover, 50 yr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3 lines (0% / 50% / 100%)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mean ± 90% CI envelope</w:t>
            </w:r>
          </w:p>
          <w:p w:rsidR="0092582F" w:rsidRDefault="0092582F"/>
          <w:p w:rsidR="0092582F" w:rsidRDefault="0092582F"/>
        </w:tc>
        <w:tc>
          <w:tcPr>
            <w:tcW w:w="3120" w:type="dxa"/>
            <w:tcBorders>
              <w:top w:val="single" w:sz="6" w:space="0" w:color="6B7A90"/>
              <w:left w:val="single" w:sz="6" w:space="0" w:color="6B7A90"/>
              <w:bottom w:val="single" w:sz="6" w:space="0" w:color="6B7A90"/>
              <w:right w:val="single" w:sz="6" w:space="0" w:color="6B7A90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:rsidR="0092582F" w:rsidRDefault="0092582F"/>
          <w:p w:rsidR="0092582F" w:rsidRDefault="0092582F"/>
          <w:p w:rsidR="0092582F" w:rsidRDefault="00000000">
            <w:pPr>
              <w:spacing w:after="80"/>
              <w:jc w:val="center"/>
            </w:pPr>
            <w:r>
              <w:rPr>
                <w:b/>
                <w:bCs/>
                <w:color w:val="1F3A5F"/>
              </w:rPr>
              <w:t>2C  Severity × frequency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heatmap at year 50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CV contour overlay</w:t>
            </w:r>
          </w:p>
          <w:p w:rsidR="0092582F" w:rsidRDefault="0092582F"/>
          <w:p w:rsidR="0092582F" w:rsidRDefault="0092582F"/>
        </w:tc>
      </w:tr>
    </w:tbl>
    <w:p w:rsidR="0092582F" w:rsidRDefault="0092582F">
      <w:pPr>
        <w:spacing w:after="120"/>
      </w:pPr>
    </w:p>
    <w:p w:rsidR="00B11D7B" w:rsidRDefault="00B11D7B">
      <w:pPr>
        <w:pStyle w:val="Heading2"/>
      </w:pPr>
    </w:p>
    <w:p w:rsidR="0092582F" w:rsidRDefault="00000000">
      <w:pPr>
        <w:pStyle w:val="Heading2"/>
      </w:pPr>
      <w:r>
        <w:t>2A — Quasi-extinction probability</w:t>
      </w:r>
    </w:p>
    <w:p w:rsidR="0092582F" w:rsidRDefault="00000000">
      <w:pPr>
        <w:spacing w:after="120"/>
      </w:pPr>
      <w:r>
        <w:lastRenderedPageBreak/>
        <w:t>Probability of the population falling below the quasi-extinction threshold (see Key Definitions) within 50 years, summarized across 100 parameter sets. Three bars: no intervention, 50% to reef, 100% to reef. Headline statistic: restoration reduces but does not eliminate extinction risk. The λ distribution moves to S3 (supplement) — it supplies mechanism, not the headline claim.</w:t>
      </w:r>
    </w:p>
    <w:p w:rsidR="0092582F" w:rsidRDefault="00000000">
      <w:pPr>
        <w:pStyle w:val="Heading2"/>
      </w:pPr>
      <w:r>
        <w:t>2B — Population trajectories</w:t>
      </w:r>
    </w:p>
    <w:p w:rsidR="0092582F" w:rsidRDefault="00000000">
      <w:pPr>
        <w:spacing w:after="120"/>
      </w:pPr>
      <w:r>
        <w:t>Reef cover (m²) over 50 years, three restoration levels matching 2A, no disturbance. Mean line + 90% quantile envelope from 100 parameter replicates.</w:t>
      </w:r>
    </w:p>
    <w:p w:rsidR="0092582F" w:rsidRDefault="00000000">
      <w:pPr>
        <w:pStyle w:val="Heading2"/>
      </w:pPr>
      <w:r>
        <w:t>2C — Disturbance severity × frequency</w:t>
      </w:r>
    </w:p>
    <w:p w:rsidR="0092582F" w:rsidRDefault="00000000">
      <w:pPr>
        <w:spacing w:after="120"/>
      </w:pPr>
      <w:r>
        <w:t>Heatmap of reef cover at year 50, severity (x) × frequency (y). Second contour layer shows CV across replicates so reviewers can see the ranking is stable under parameter uncertainty. Finding: severity dominates frequency over the 3–7 year window.</w:t>
      </w:r>
    </w:p>
    <w:p w:rsidR="0092582F" w:rsidRDefault="00000000">
      <w:pPr>
        <w:pStyle w:val="Heading2"/>
      </w:pPr>
      <w:r>
        <w:t>Panel takeaways (use as panel titles)</w:t>
      </w:r>
    </w:p>
    <w:p w:rsidR="0092582F" w:rsidRDefault="00000000">
      <w:pPr>
        <w:pStyle w:val="ListParagraph"/>
        <w:numPr>
          <w:ilvl w:val="0"/>
          <w:numId w:val="2"/>
        </w:numPr>
        <w:spacing w:after="60"/>
      </w:pPr>
      <w:r>
        <w:t>2A: Restoration reduces but does not eliminate quasi-extinction risk.</w:t>
      </w:r>
    </w:p>
    <w:p w:rsidR="0092582F" w:rsidRDefault="00000000">
      <w:pPr>
        <w:pStyle w:val="ListParagraph"/>
        <w:numPr>
          <w:ilvl w:val="0"/>
          <w:numId w:val="2"/>
        </w:numPr>
        <w:spacing w:after="60"/>
      </w:pPr>
      <w:r>
        <w:t>2B: Restored trajectories sustain cover above the no-intervention baseline but remain dependent on active management.</w:t>
      </w:r>
    </w:p>
    <w:p w:rsidR="0092582F" w:rsidRDefault="00000000">
      <w:pPr>
        <w:pStyle w:val="ListParagraph"/>
        <w:numPr>
          <w:ilvl w:val="0"/>
          <w:numId w:val="2"/>
        </w:numPr>
        <w:spacing w:after="60"/>
      </w:pPr>
      <w:r>
        <w:t>2C: Severity dominates frequency — a single severe event erases more progress than multiple moderate ones.</w:t>
      </w:r>
    </w:p>
    <w:p w:rsidR="0092582F" w:rsidRDefault="00000000">
      <w:pPr>
        <w:pStyle w:val="Heading2"/>
      </w:pPr>
      <w:r>
        <w:t>Uncertainty</w:t>
      </w:r>
    </w:p>
    <w:p w:rsidR="0092582F" w:rsidRDefault="00000000">
      <w:pPr>
        <w:spacing w:after="120"/>
      </w:pPr>
      <w:r>
        <w:t>Quasi-extinction probability and λ distribution are computed across 100 demographic parameter sets drawn from empirical data. Time series = mean ± 90% quantile envelopes across the same 100 parameter sets. State this in the Fig 2 caption and apply consistently to all subsequent figures.</w:t>
      </w:r>
    </w:p>
    <w:p w:rsidR="0092582F" w:rsidRDefault="00000000">
      <w:pPr>
        <w:spacing w:after="120"/>
      </w:pPr>
      <w:r>
        <w:t>Hero paper reference: Mumby, Hastings &amp; Edwards 2007 — model-to-management, threshold dynamics.</w:t>
      </w:r>
    </w:p>
    <w:p w:rsidR="0092582F" w:rsidRDefault="00000000">
      <w:pPr>
        <w:pStyle w:val="Heading1"/>
      </w:pPr>
      <w:r>
        <w:t>Figure 3 — Orchard vs. Reef Investment</w:t>
      </w:r>
    </w:p>
    <w:p w:rsidR="0092582F" w:rsidRDefault="00000000">
      <w:pPr>
        <w:spacing w:after="120"/>
      </w:pPr>
      <w:r>
        <w:t>The allocation figure. 3C is essential to the section argument — do not treat it as optional.</w:t>
      </w:r>
    </w:p>
    <w:p w:rsidR="0092582F" w:rsidRDefault="00000000">
      <w:pPr>
        <w:pStyle w:val="Heading2"/>
      </w:pPr>
      <w:r>
        <w:t>The load-bearing assumption — Option A (data-defended)</w:t>
      </w:r>
    </w:p>
    <w:p w:rsidR="0092582F" w:rsidRDefault="00000000">
      <w:pPr>
        <w:spacing w:after="120"/>
      </w:pPr>
      <w:r>
        <w:t>Nursery survival is higher than reef survival, including during disturbance. We defend this with Fundemar monitoring data, not framing.</w:t>
      </w:r>
    </w:p>
    <w:p w:rsidR="0092582F" w:rsidRDefault="00000000">
      <w:pPr>
        <w:spacing w:after="120"/>
      </w:pPr>
      <w:r>
        <w:rPr>
          <w:b/>
          <w:bCs/>
        </w:rPr>
        <w:t>Data source.</w:t>
      </w:r>
      <w:r>
        <w:t xml:space="preserve"> Fundemar size-class-specific survival datasets, loaded at the top of rse_new_scenario_analyses.rmd (~L47–48) from the sibling </w:t>
      </w:r>
      <w:r>
        <w:rPr>
          <w:i/>
          <w:iCs/>
        </w:rPr>
        <w:t>Detmer-2025-coral-parameters</w:t>
      </w:r>
      <w:r>
        <w:t xml:space="preserve"> repo: </w:t>
      </w:r>
      <w:r>
        <w:rPr>
          <w:rFonts w:ascii="Consolas" w:eastAsia="Consolas" w:hAnsi="Consolas" w:cs="Consolas"/>
        </w:rPr>
        <w:t>nurs_surv_pars.rds</w:t>
      </w:r>
      <w:r>
        <w:t xml:space="preserve"> (nursery) and </w:t>
      </w:r>
      <w:r>
        <w:rPr>
          <w:rFonts w:ascii="Consolas" w:eastAsia="Consolas" w:hAnsi="Consolas" w:cs="Consolas"/>
        </w:rPr>
        <w:t>field_surv_pars.rds</w:t>
      </w:r>
      <w:r>
        <w:t xml:space="preserve"> (field/reef).</w:t>
      </w:r>
    </w:p>
    <w:p w:rsidR="0092582F" w:rsidRDefault="00000000">
      <w:pPr>
        <w:spacing w:after="120"/>
      </w:pPr>
      <w:r>
        <w:t>Methods content. Short paragraph with (i) mean size-class-specific survival in nursery vs. field across the monitored window, (ii) the baseline differential used in the model, (iii) how disturbance scales survival in each compartment (current test value is a 0.1 multiplier on both — defend, or change if the differential during disturbance is asymmetric).</w:t>
      </w:r>
    </w:p>
    <w:p w:rsidR="0092582F" w:rsidRDefault="00000000">
      <w:pPr>
        <w:spacing w:after="120"/>
      </w:pPr>
      <w:r>
        <w:t>Figure content. Small inset on Fig 3, or a dedicated Methods-box figure: paired survival estimates (nursery vs. field) by size class with CIs, over the monitored window, plus an annotation for the disturbance multiplier.</w:t>
      </w:r>
    </w:p>
    <w:p w:rsidR="0092582F" w:rsidRDefault="00000000">
      <w:pPr>
        <w:spacing w:after="120"/>
      </w:pPr>
      <w:r>
        <w:lastRenderedPageBreak/>
        <w:t>The portfolio asymmetry (nursery corals can be protected, replaced, moved) stays in the Discussion as a supporting argument. It is no longer the primary logic.</w:t>
      </w:r>
    </w:p>
    <w:p w:rsidR="0092582F" w:rsidRDefault="00000000">
      <w:pPr>
        <w:pStyle w:val="Heading3"/>
      </w:pPr>
      <w:r>
        <w:t>Panel sketch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92582F">
        <w:tblPrEx>
          <w:tblCellMar>
            <w:top w:w="0" w:type="dxa"/>
            <w:bottom w:w="0" w:type="dxa"/>
          </w:tblCellMar>
        </w:tblPrEx>
        <w:tc>
          <w:tcPr>
            <w:tcW w:w="3700" w:type="dxa"/>
            <w:vMerge w:val="restart"/>
            <w:tcBorders>
              <w:top w:val="single" w:sz="6" w:space="0" w:color="6B7A90"/>
              <w:left w:val="single" w:sz="6" w:space="0" w:color="6B7A90"/>
              <w:bottom w:val="single" w:sz="6" w:space="0" w:color="6B7A90"/>
              <w:right w:val="single" w:sz="6" w:space="0" w:color="6B7A90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:rsidR="0092582F" w:rsidRDefault="0092582F"/>
          <w:p w:rsidR="0092582F" w:rsidRDefault="0092582F"/>
          <w:p w:rsidR="0092582F" w:rsidRDefault="00000000">
            <w:pPr>
              <w:spacing w:after="80"/>
              <w:jc w:val="center"/>
            </w:pPr>
            <w:r>
              <w:rPr>
                <w:b/>
                <w:bCs/>
                <w:color w:val="1F3A5F"/>
              </w:rPr>
              <w:t>3A  Petal plots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5-year horizon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50% vs 100% to reef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six metrics, error bars</w:t>
            </w:r>
          </w:p>
          <w:p w:rsidR="0092582F" w:rsidRDefault="0092582F"/>
          <w:p w:rsidR="0092582F" w:rsidRDefault="0092582F"/>
        </w:tc>
        <w:tc>
          <w:tcPr>
            <w:tcW w:w="5660" w:type="dxa"/>
            <w:tcBorders>
              <w:top w:val="single" w:sz="6" w:space="0" w:color="6B7A90"/>
              <w:left w:val="single" w:sz="6" w:space="0" w:color="6B7A90"/>
              <w:bottom w:val="single" w:sz="6" w:space="0" w:color="6B7A90"/>
              <w:right w:val="single" w:sz="6" w:space="0" w:color="6B7A90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:rsidR="0092582F" w:rsidRDefault="0092582F"/>
          <w:p w:rsidR="0092582F" w:rsidRDefault="0092582F"/>
          <w:p w:rsidR="0092582F" w:rsidRDefault="00000000">
            <w:pPr>
              <w:spacing w:after="80"/>
              <w:jc w:val="center"/>
            </w:pPr>
            <w:r>
              <w:rPr>
                <w:b/>
                <w:bCs/>
                <w:color w:val="1F3A5F"/>
              </w:rPr>
              <w:t>3B  Allocation 0→1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x = prop_to_reef (11 levels)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top: reef cover, bot: tot ROI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stacked, shared x-axis</w:t>
            </w:r>
          </w:p>
          <w:p w:rsidR="0092582F" w:rsidRDefault="0092582F"/>
          <w:p w:rsidR="0092582F" w:rsidRDefault="0092582F"/>
        </w:tc>
      </w:tr>
      <w:tr w:rsidR="0092582F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6" w:space="0" w:color="6B7A90"/>
              <w:left w:val="single" w:sz="6" w:space="0" w:color="6B7A90"/>
              <w:bottom w:val="single" w:sz="6" w:space="0" w:color="6B7A90"/>
              <w:right w:val="single" w:sz="6" w:space="0" w:color="6B7A90"/>
            </w:tcBorders>
          </w:tcPr>
          <w:p w:rsidR="0092582F" w:rsidRDefault="0092582F"/>
        </w:tc>
        <w:tc>
          <w:tcPr>
            <w:tcW w:w="5660" w:type="dxa"/>
            <w:tcBorders>
              <w:top w:val="single" w:sz="6" w:space="0" w:color="6B7A90"/>
              <w:left w:val="single" w:sz="6" w:space="0" w:color="6B7A90"/>
              <w:bottom w:val="single" w:sz="6" w:space="0" w:color="6B7A90"/>
              <w:right w:val="single" w:sz="6" w:space="0" w:color="6B7A90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:rsidR="0092582F" w:rsidRDefault="0092582F"/>
          <w:p w:rsidR="0092582F" w:rsidRDefault="0092582F"/>
          <w:p w:rsidR="0092582F" w:rsidRDefault="00000000">
            <w:pPr>
              <w:spacing w:after="80"/>
              <w:jc w:val="center"/>
            </w:pPr>
            <w:r>
              <w:rPr>
                <w:b/>
                <w:bCs/>
                <w:color w:val="1F3A5F"/>
              </w:rPr>
              <w:t>3C  Allocation × disturbance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same x-axis as 3B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2 lines: D0 vs D3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nursery advantage grows with stress</w:t>
            </w:r>
          </w:p>
          <w:p w:rsidR="0092582F" w:rsidRDefault="0092582F"/>
          <w:p w:rsidR="0092582F" w:rsidRDefault="0092582F"/>
        </w:tc>
      </w:tr>
    </w:tbl>
    <w:p w:rsidR="0092582F" w:rsidRDefault="0092582F">
      <w:pPr>
        <w:spacing w:after="120"/>
      </w:pPr>
    </w:p>
    <w:p w:rsidR="0092582F" w:rsidRDefault="00000000">
      <w:pPr>
        <w:pStyle w:val="Heading2"/>
      </w:pPr>
      <w:r>
        <w:t>3A — Petal plots, 5-year horizon</w:t>
      </w:r>
    </w:p>
    <w:p w:rsidR="0092582F" w:rsidRDefault="00000000">
      <w:pPr>
        <w:spacing w:after="120"/>
      </w:pPr>
      <w:r>
        <w:t>50% vs. 100% to reef. Drop 90%. Six metrics. Fix colors so they do not collide with the reef-investment palette. Push 50-year petals to supplement.</w:t>
      </w:r>
    </w:p>
    <w:p w:rsidR="0092582F" w:rsidRDefault="00000000">
      <w:pPr>
        <w:spacing w:after="120"/>
      </w:pPr>
      <w:r>
        <w:t>Uncertainty: petal plots currently show point estimates. Add error bars or annotate the range.</w:t>
      </w:r>
    </w:p>
    <w:p w:rsidR="0092582F" w:rsidRDefault="00000000">
      <w:pPr>
        <w:pStyle w:val="Heading2"/>
      </w:pPr>
      <w:r>
        <w:t>3B — Continuous allocation curve</w:t>
      </w:r>
    </w:p>
    <w:p w:rsidR="0092582F" w:rsidRDefault="00000000">
      <w:pPr>
        <w:spacing w:after="120"/>
      </w:pPr>
      <w:r>
        <w:t>X = proportion to reef. Show the full 0–1 range. Main panel full-range; zoomed inset on the 0.5–1 region where the nonlinearities live. Y = reef cover (top panel) and total ROI (bottom panel). Stack the two panels sharing the x-axis — no twin y-axes.</w:t>
      </w:r>
    </w:p>
    <w:p w:rsidR="0092582F" w:rsidRDefault="00000000">
      <w:pPr>
        <w:spacing w:after="120"/>
      </w:pPr>
      <w:r>
        <w:t>Data needed: expand prop_main to at least 0.0, 0.1, 0.2, 0.3, 0.4, 0.5, 0.6, 0.7, 0.8, 0.9, 1.0 (11 levels).</w:t>
      </w:r>
    </w:p>
    <w:p w:rsidR="0092582F" w:rsidRDefault="00000000">
      <w:pPr>
        <w:pStyle w:val="Heading2"/>
      </w:pPr>
      <w:r>
        <w:t>3C — Allocation × disturbance</w:t>
      </w:r>
    </w:p>
    <w:p w:rsidR="0092582F" w:rsidRDefault="00000000">
      <w:pPr>
        <w:spacing w:after="120"/>
      </w:pPr>
      <w:r>
        <w:t>Central result of the section. Same continuous curve with vs. without severe disturbance. Shows the nursery advantage grows under stress — the whole thesis of the section. Keep in main figure.</w:t>
      </w:r>
    </w:p>
    <w:p w:rsidR="0092582F" w:rsidRDefault="00000000">
      <w:pPr>
        <w:pStyle w:val="Heading2"/>
      </w:pPr>
      <w:r>
        <w:t>Panel takeaways</w:t>
      </w:r>
    </w:p>
    <w:p w:rsidR="0092582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3A: Investing 50% in the nursery outperforms 100% to reef across most metrics at 5 years.</w:t>
      </w:r>
    </w:p>
    <w:p w:rsidR="0092582F" w:rsidRDefault="00000000">
      <w:pPr>
        <w:pStyle w:val="ListParagraph"/>
        <w:numPr>
          <w:ilvl w:val="0"/>
          <w:numId w:val="2"/>
        </w:numPr>
        <w:spacing w:after="60"/>
      </w:pPr>
      <w:r>
        <w:t>3B: Total ROI is maximized at intermediate allocation, not at either extreme.</w:t>
      </w:r>
    </w:p>
    <w:p w:rsidR="0092582F" w:rsidRDefault="00000000">
      <w:pPr>
        <w:pStyle w:val="ListParagraph"/>
        <w:numPr>
          <w:ilvl w:val="0"/>
          <w:numId w:val="2"/>
        </w:numPr>
        <w:spacing w:after="60"/>
      </w:pPr>
      <w:r>
        <w:t>3C: The nursery advantage grows with disturbance — the portfolio effect peaks around 30–70% to reef.</w:t>
      </w:r>
    </w:p>
    <w:p w:rsidR="0092582F" w:rsidRDefault="00000000">
      <w:pPr>
        <w:pStyle w:val="Heading2"/>
      </w:pPr>
      <w:r>
        <w:t>Supplement</w:t>
      </w:r>
    </w:p>
    <w:p w:rsidR="0092582F" w:rsidRDefault="00000000">
      <w:pPr>
        <w:spacing w:after="120"/>
      </w:pPr>
      <w:r>
        <w:t>50-year petals (S6), 90% allocation petals (S7), no-reference-reef petals (S8), all-six-metrics allocation curve (S9), cover × ROI scatter with ref-reef contrast (S10), time-to-full-orchard (S11). See Supplement Plan below.</w:t>
      </w:r>
    </w:p>
    <w:p w:rsidR="0092582F" w:rsidRDefault="00000000">
      <w:pPr>
        <w:spacing w:after="120"/>
      </w:pPr>
      <w:r>
        <w:t>Hero paper reference: Strassburg et al. 2019 — cost-efficiency / allocation curves in a Nat E&amp;E restoration paper.</w:t>
      </w:r>
    </w:p>
    <w:p w:rsidR="0092582F" w:rsidRDefault="00000000">
      <w:pPr>
        <w:pStyle w:val="Heading1"/>
      </w:pPr>
      <w:r>
        <w:t>Figure 4 — Size-Class Grow-out Strategy</w:t>
      </w:r>
    </w:p>
    <w:p w:rsidR="0092582F" w:rsidRDefault="00000000">
      <w:pPr>
        <w:spacing w:after="120"/>
      </w:pPr>
      <w:r>
        <w:t>Main Fig 4 result: SC2 outplanting outperforms SC1 and SC5.</w:t>
      </w:r>
    </w:p>
    <w:p w:rsidR="0092582F" w:rsidRDefault="00000000">
      <w:pPr>
        <w:pStyle w:val="Heading3"/>
      </w:pPr>
      <w:r>
        <w:t>Panel sketch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582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6B7A90"/>
              <w:left w:val="single" w:sz="6" w:space="0" w:color="6B7A90"/>
              <w:bottom w:val="single" w:sz="6" w:space="0" w:color="6B7A90"/>
              <w:right w:val="single" w:sz="6" w:space="0" w:color="6B7A90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:rsidR="0092582F" w:rsidRDefault="0092582F"/>
          <w:p w:rsidR="0092582F" w:rsidRDefault="0092582F"/>
          <w:p w:rsidR="0092582F" w:rsidRDefault="00000000">
            <w:pPr>
              <w:spacing w:after="80"/>
              <w:jc w:val="center"/>
            </w:pPr>
            <w:r>
              <w:rPr>
                <w:b/>
                <w:bCs/>
                <w:color w:val="1F3A5F"/>
              </w:rPr>
              <w:t>4A  Fixed nursery area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fill ~170 m² with one SC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winner: SC2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compare SC1 / SC2 / SC5</w:t>
            </w:r>
          </w:p>
          <w:p w:rsidR="0092582F" w:rsidRDefault="0092582F"/>
          <w:p w:rsidR="0092582F" w:rsidRDefault="0092582F"/>
        </w:tc>
        <w:tc>
          <w:tcPr>
            <w:tcW w:w="3120" w:type="dxa"/>
            <w:tcBorders>
              <w:top w:val="single" w:sz="6" w:space="0" w:color="6B7A90"/>
              <w:left w:val="single" w:sz="6" w:space="0" w:color="6B7A90"/>
              <w:bottom w:val="single" w:sz="6" w:space="0" w:color="6B7A90"/>
              <w:right w:val="single" w:sz="6" w:space="0" w:color="6B7A90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:rsidR="0092582F" w:rsidRDefault="0092582F"/>
          <w:p w:rsidR="0092582F" w:rsidRDefault="0092582F"/>
          <w:p w:rsidR="0092582F" w:rsidRDefault="00000000">
            <w:pPr>
              <w:spacing w:after="80"/>
              <w:jc w:val="center"/>
            </w:pPr>
            <w:r>
              <w:rPr>
                <w:b/>
                <w:bCs/>
                <w:color w:val="1F3A5F"/>
              </w:rPr>
              <w:t>4A'  Final size distribution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stacked bars at year 50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mechanism: SC2s → SC5</w:t>
            </w:r>
          </w:p>
          <w:p w:rsidR="0092582F" w:rsidRDefault="0092582F"/>
          <w:p w:rsidR="0092582F" w:rsidRDefault="0092582F"/>
        </w:tc>
        <w:tc>
          <w:tcPr>
            <w:tcW w:w="3120" w:type="dxa"/>
            <w:tcBorders>
              <w:top w:val="single" w:sz="6" w:space="0" w:color="6B7A90"/>
              <w:left w:val="single" w:sz="6" w:space="0" w:color="6B7A90"/>
              <w:bottom w:val="single" w:sz="6" w:space="0" w:color="6B7A90"/>
              <w:right w:val="single" w:sz="6" w:space="0" w:color="6B7A90"/>
            </w:tcBorders>
            <w:shd w:val="clear" w:color="auto" w:fill="F4F6FA"/>
            <w:tcMar>
              <w:top w:w="200" w:type="dxa"/>
              <w:left w:w="160" w:type="dxa"/>
              <w:bottom w:w="200" w:type="dxa"/>
              <w:right w:w="160" w:type="dxa"/>
            </w:tcMar>
          </w:tcPr>
          <w:p w:rsidR="0092582F" w:rsidRDefault="0092582F"/>
          <w:p w:rsidR="0092582F" w:rsidRDefault="0092582F"/>
          <w:p w:rsidR="0092582F" w:rsidRDefault="00000000">
            <w:pPr>
              <w:spacing w:after="80"/>
              <w:jc w:val="center"/>
            </w:pPr>
            <w:r>
              <w:rPr>
                <w:b/>
                <w:bCs/>
                <w:color w:val="1F3A5F"/>
              </w:rPr>
              <w:t>4B  Three scenarios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cover × ROI, equal $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default / grow-out / scale-up</w:t>
            </w:r>
          </w:p>
          <w:p w:rsidR="0092582F" w:rsidRDefault="00000000">
            <w:pPr>
              <w:spacing w:after="40"/>
              <w:jc w:val="center"/>
            </w:pPr>
            <w:r>
              <w:rPr>
                <w:i/>
                <w:iCs/>
                <w:color w:val="4A4A4A"/>
                <w:sz w:val="18"/>
                <w:szCs w:val="18"/>
              </w:rPr>
              <w:t>pre-registered null below</w:t>
            </w:r>
          </w:p>
          <w:p w:rsidR="0092582F" w:rsidRDefault="0092582F"/>
          <w:p w:rsidR="0092582F" w:rsidRDefault="0092582F"/>
        </w:tc>
      </w:tr>
    </w:tbl>
    <w:p w:rsidR="0092582F" w:rsidRDefault="0092582F">
      <w:pPr>
        <w:spacing w:after="120"/>
      </w:pPr>
    </w:p>
    <w:p w:rsidR="0092582F" w:rsidRDefault="00000000">
      <w:pPr>
        <w:pStyle w:val="Heading2"/>
      </w:pPr>
      <w:r>
        <w:t>4A — Fixed nursery area (~170 m²)</w:t>
      </w:r>
    </w:p>
    <w:p w:rsidR="0092582F" w:rsidRDefault="00000000">
      <w:pPr>
        <w:spacing w:after="120"/>
      </w:pPr>
      <w:r>
        <w:t>Fill with one size class — which wins? SC2. Paired sub-panel: stacked final-size-distribution at year 50 (mechanism: SC2s grow up to SC5).</w:t>
      </w:r>
    </w:p>
    <w:p w:rsidR="0092582F" w:rsidRDefault="00000000">
      <w:pPr>
        <w:pStyle w:val="Heading2"/>
      </w:pPr>
      <w:r>
        <w:t>4B — Three applied scenarios</w:t>
      </w:r>
    </w:p>
    <w:p w:rsidR="0092582F" w:rsidRDefault="00000000">
      <w:pPr>
        <w:pStyle w:val="ListParagraph"/>
        <w:numPr>
          <w:ilvl w:val="0"/>
          <w:numId w:val="2"/>
        </w:numPr>
        <w:spacing w:after="60"/>
      </w:pPr>
      <w:r>
        <w:t>Default: SC1 outplanting, default lab.</w:t>
      </w:r>
    </w:p>
    <w:p w:rsidR="0092582F" w:rsidRDefault="00000000">
      <w:pPr>
        <w:pStyle w:val="ListParagraph"/>
        <w:numPr>
          <w:ilvl w:val="0"/>
          <w:numId w:val="2"/>
        </w:numPr>
        <w:spacing w:after="60"/>
      </w:pPr>
      <w:r>
        <w:t>Grow-out: same lab, SC2 outplanting.</w:t>
      </w:r>
    </w:p>
    <w:p w:rsidR="0092582F" w:rsidRDefault="00000000">
      <w:pPr>
        <w:pStyle w:val="ListParagraph"/>
        <w:numPr>
          <w:ilvl w:val="0"/>
          <w:numId w:val="2"/>
        </w:numPr>
        <w:spacing w:after="60"/>
      </w:pPr>
      <w:r>
        <w:t>Scale-up: same budget as grow-out, bigger lab, more SC1s.</w:t>
      </w:r>
    </w:p>
    <w:p w:rsidR="0092582F" w:rsidRDefault="00000000">
      <w:pPr>
        <w:spacing w:after="120"/>
      </w:pPr>
      <w:r>
        <w:t>Equal-budget constraint is defined in dollars (primary, Fundemar-anchored). Dive-hours and lab-months are reported alongside as portable sensitivity with a conversion footnote; a supplementary panel repeats 4B with equal dive-hours or equal lab-months as the binding constraint.</w:t>
      </w:r>
    </w:p>
    <w:p w:rsidR="0092582F" w:rsidRDefault="00000000">
      <w:pPr>
        <w:pStyle w:val="Heading2"/>
      </w:pPr>
      <w:r>
        <w:t>Pre-registered null for scenario 3 (write before running)</w:t>
      </w:r>
    </w:p>
    <w:p w:rsidR="0092582F" w:rsidRDefault="00000000">
      <w:pPr>
        <w:spacing w:after="120"/>
      </w:pPr>
      <w:r>
        <w:t xml:space="preserve">If the SC2 advantage is just “more nursery area,” a scaled-up SC1 lab with equal dollars should match grow-out’s year-50 reef cover within 10%. If the grow-out advantage is a genuine life-stage effect — lower mortality in SC2, faster transitions through reproductive size classes — </w:t>
      </w:r>
      <w:r>
        <w:lastRenderedPageBreak/>
        <w:t>grow-out beats scale-up by &gt;20% at equal dollars. We commit to the prediction before the run; the observed effect size and its direction relative to these bounds goes in the results.</w:t>
      </w:r>
    </w:p>
    <w:p w:rsidR="0092582F" w:rsidRDefault="00000000">
      <w:pPr>
        <w:pStyle w:val="Heading2"/>
      </w:pPr>
      <w:r>
        <w:t>Model consistency</w:t>
      </w:r>
    </w:p>
    <w:p w:rsidR="0092582F" w:rsidRDefault="00000000">
      <w:pPr>
        <w:spacing w:after="120"/>
      </w:pPr>
      <w:r>
        <w:t>Use rse_mod1() throughout. If any panel uses popvi_mod(), validate against rse_mod1() in supplement (S/validation).</w:t>
      </w:r>
    </w:p>
    <w:p w:rsidR="0092582F" w:rsidRDefault="00000000">
      <w:pPr>
        <w:pStyle w:val="Heading2"/>
      </w:pPr>
      <w:r>
        <w:t>4C (optional) — Darcy's question</w:t>
      </w:r>
    </w:p>
    <w:p w:rsidR="0092582F" w:rsidRDefault="00000000">
      <w:pPr>
        <w:spacing w:after="120"/>
      </w:pPr>
      <w:r>
        <w:t>How much would fecundity need to increase in scenario #3 to match #2?</w:t>
      </w:r>
    </w:p>
    <w:p w:rsidR="0092582F" w:rsidRDefault="00000000">
      <w:pPr>
        <w:pStyle w:val="Heading2"/>
      </w:pPr>
      <w:r>
        <w:t>Panel takeaways</w:t>
      </w:r>
    </w:p>
    <w:p w:rsidR="0092582F" w:rsidRDefault="00000000">
      <w:pPr>
        <w:pStyle w:val="ListParagraph"/>
        <w:numPr>
          <w:ilvl w:val="0"/>
          <w:numId w:val="2"/>
        </w:numPr>
        <w:spacing w:after="60"/>
      </w:pPr>
      <w:r>
        <w:t>4A: SC2 produces more large adults at fixed nursery area than SC1 or SC5.</w:t>
      </w:r>
    </w:p>
    <w:p w:rsidR="0092582F" w:rsidRDefault="00000000">
      <w:pPr>
        <w:pStyle w:val="ListParagraph"/>
        <w:numPr>
          <w:ilvl w:val="0"/>
          <w:numId w:val="2"/>
        </w:numPr>
        <w:spacing w:after="60"/>
      </w:pPr>
      <w:r>
        <w:t>4B: The SC2 advantage holds at equal budget — a life-stage effect, not a lab-size artifact.</w:t>
      </w:r>
    </w:p>
    <w:p w:rsidR="0092582F" w:rsidRDefault="00000000">
      <w:pPr>
        <w:pStyle w:val="Heading2"/>
      </w:pPr>
      <w:r>
        <w:t>Generality paragraph (Discussion)</w:t>
      </w:r>
    </w:p>
    <w:p w:rsidR="0092582F" w:rsidRDefault="00000000">
      <w:pPr>
        <w:spacing w:after="120"/>
      </w:pPr>
      <w:r>
        <w:t>One paragraph explaining what features of the life history and cost structure drive the SC2 result — fast growth from SC2→SC3, high SC1 mortality, cost scaling with nursery duration — so someone working on A. cervicornis, Orbicella, or a different region can assess whether the result transfers.</w:t>
      </w:r>
    </w:p>
    <w:p w:rsidR="0092582F" w:rsidRDefault="00000000">
      <w:pPr>
        <w:spacing w:after="120"/>
      </w:pPr>
      <w:r>
        <w:t>Hero paper references: Crouse, Crowder &amp; Caswell 1987 — “wrong life stage” argument. Lorenzen 2005 — size-at-release theoretical lineage from fisheries stock enhancement. Canessa et al. 2023 — optimal life-stage for release. Iacona et al. 2017 — how to present a counterintuitive “worth the wait” result.</w:t>
      </w:r>
    </w:p>
    <w:p w:rsidR="0092582F" w:rsidRDefault="00000000">
      <w:pPr>
        <w:pStyle w:val="Heading1"/>
      </w:pPr>
      <w:r>
        <w:t>Candidate Fig 5 — Elasticity / Sensitivity (decision pending)</w:t>
      </w:r>
    </w:p>
    <w:p w:rsidR="0092582F" w:rsidRDefault="00000000">
      <w:pPr>
        <w:spacing w:after="120"/>
      </w:pPr>
      <w:r>
        <w:t>Crouse 1987 precedent: elasticity is main-text when the story is “invest in the right life stage.” If Fig 4 is our Crouse-style result, an elasticity panel belongs alongside it — either as a dedicated Fig 5 or as a fourth Fig 4 sub-panel.</w:t>
      </w:r>
    </w:p>
    <w:p w:rsidR="0092582F" w:rsidRDefault="00000000">
      <w:pPr>
        <w:spacing w:after="120"/>
      </w:pPr>
      <w:r>
        <w:t>Recommended content: tornado plot of λ-elasticity to each matrix element, with the SC2→SC3 transition and lab survival highlighted. Data already computed in rse_sensitivity.rmd (popbio::elasticity; mean, 5th, 95th percentile at lines ~127, 153, 181). Alternative: demote to S15.</w:t>
      </w:r>
    </w:p>
    <w:p w:rsidR="00B11D7B" w:rsidRDefault="00B11D7B">
      <w:pPr>
        <w:rPr>
          <w:b/>
          <w:bCs/>
          <w:color w:val="1F3A5F"/>
          <w:sz w:val="30"/>
          <w:szCs w:val="30"/>
        </w:rPr>
      </w:pPr>
    </w:p>
    <w:p w:rsidR="0092582F" w:rsidRDefault="00000000">
      <w:pPr>
        <w:pStyle w:val="Heading1"/>
      </w:pPr>
      <w:r>
        <w:t>Supplement Plan (mirrors figure-suggestions/supplement-figures.md)</w:t>
      </w:r>
    </w:p>
    <w:p w:rsidR="0092582F" w:rsidRDefault="00000000">
      <w:pPr>
        <w:spacing w:after="120"/>
      </w:pPr>
      <w:r>
        <w:t>Numbering follows the repo's supplement-figures.md. Priority column: M = must-have, S = should-have, N = nice-to-have.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622"/>
        <w:gridCol w:w="1377"/>
        <w:gridCol w:w="597"/>
        <w:gridCol w:w="3164"/>
      </w:tblGrid>
      <w:tr w:rsidR="009258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b/>
                <w:bCs/>
                <w:sz w:val="20"/>
                <w:szCs w:val="20"/>
              </w:rPr>
              <w:t>Supports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b/>
                <w:bCs/>
                <w:sz w:val="20"/>
                <w:szCs w:val="20"/>
              </w:rPr>
              <w:t>Pri.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b/>
                <w:bCs/>
                <w:sz w:val="20"/>
                <w:szCs w:val="20"/>
              </w:rPr>
              <w:t>Source</w:t>
            </w:r>
          </w:p>
        </w:tc>
      </w:tr>
      <w:tr w:rsidR="0092582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S1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Model equations + parameter table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Fig 1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model_description.Rmd, rest_pars.rmd</w:t>
            </w:r>
          </w:p>
        </w:tc>
      </w:tr>
      <w:tr w:rsidR="0092582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lastRenderedPageBreak/>
              <w:t>S2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Fundemar system description + site map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Fig 1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Fundemar model plan (Drive)</w:t>
            </w:r>
          </w:p>
        </w:tc>
      </w:tr>
      <w:tr w:rsidR="0092582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S3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λ distribution + parameter distributions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Fig 2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rse_population_viability.Rmd</w:t>
            </w:r>
          </w:p>
        </w:tc>
      </w:tr>
      <w:tr w:rsidR="0092582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S4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All-investment-level trajectories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Fig 2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rse_new_scenario_analyses.rmd ~L1272</w:t>
            </w:r>
          </w:p>
        </w:tc>
      </w:tr>
      <w:tr w:rsidR="0092582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S5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Extended disturbance grid (finer resolution + CV)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Fig 2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~L976+</w:t>
            </w:r>
          </w:p>
        </w:tc>
      </w:tr>
      <w:tr w:rsidR="0092582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S6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50-year petal plots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Fig 3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coded ~L2158</w:t>
            </w:r>
          </w:p>
        </w:tc>
      </w:tr>
      <w:tr w:rsidR="0092582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S7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90% allocation petals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Fig 3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N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coded ~L2149</w:t>
            </w:r>
          </w:p>
        </w:tc>
      </w:tr>
      <w:tr w:rsidR="0092582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S8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Petals without reference reef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Fig 3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coded ~L2173</w:t>
            </w:r>
          </w:p>
        </w:tc>
      </w:tr>
      <w:tr w:rsidR="0092582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S9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All six metrics, full 0–1 allocation range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Fig 3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~L2212 (noted)</w:t>
            </w:r>
          </w:p>
        </w:tc>
      </w:tr>
      <w:tr w:rsidR="0092582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S10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Cover × ROI scatter with ref-reef contrast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Fig 3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N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92582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S11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Time to full orchard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Fig 3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coded ~L5293</w:t>
            </w:r>
          </w:p>
        </w:tc>
      </w:tr>
      <w:tr w:rsidR="0092582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S12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Lab grow-out survival/growth thresholds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Fig 4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ROI_thresh_fun() ~L8389</w:t>
            </w:r>
          </w:p>
        </w:tc>
      </w:tr>
      <w:tr w:rsidR="0092582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S13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Multiple lab retention levels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Fig 4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coded ~L8698</w:t>
            </w:r>
          </w:p>
        </w:tc>
      </w:tr>
      <w:tr w:rsidR="0092582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S14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Fixed-number size-class comparison (SC5 wins)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Fig 4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needs new code</w:t>
            </w:r>
          </w:p>
        </w:tc>
      </w:tr>
      <w:tr w:rsidR="0092582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S15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Elasticity analysis (if not main-text Fig 5)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rse_sensitivity.rmd</w:t>
            </w:r>
          </w:p>
        </w:tc>
      </w:tr>
      <w:tr w:rsidR="0092582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S16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Scenario-specific one-at-a-time sensitivity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~L2983</w:t>
            </w:r>
          </w:p>
        </w:tc>
      </w:tr>
      <w:tr w:rsidR="0092582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S17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Natural-recruitment cranked-up runs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new code, ~30 min</w:t>
            </w:r>
          </w:p>
        </w:tc>
      </w:tr>
      <w:tr w:rsidR="0092582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S18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Cost model details + 3-unit conversion table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82F" w:rsidRDefault="00000000">
            <w:r>
              <w:rPr>
                <w:sz w:val="20"/>
                <w:szCs w:val="20"/>
              </w:rPr>
              <w:t>~L707+</w:t>
            </w:r>
          </w:p>
        </w:tc>
      </w:tr>
    </w:tbl>
    <w:p w:rsidR="0092582F" w:rsidRDefault="0092582F" w:rsidP="003B6556">
      <w:pPr>
        <w:pStyle w:val="Heading1"/>
      </w:pPr>
    </w:p>
    <w:sectPr w:rsidR="0092582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70C65"/>
    <w:multiLevelType w:val="hybridMultilevel"/>
    <w:tmpl w:val="5B60DA9C"/>
    <w:lvl w:ilvl="0" w:tplc="5238C20E">
      <w:start w:val="1"/>
      <w:numFmt w:val="bullet"/>
      <w:lvlText w:val="●"/>
      <w:lvlJc w:val="left"/>
      <w:pPr>
        <w:ind w:left="720" w:hanging="360"/>
      </w:pPr>
    </w:lvl>
    <w:lvl w:ilvl="1" w:tplc="1B68B898">
      <w:start w:val="1"/>
      <w:numFmt w:val="bullet"/>
      <w:lvlText w:val="○"/>
      <w:lvlJc w:val="left"/>
      <w:pPr>
        <w:ind w:left="1440" w:hanging="360"/>
      </w:pPr>
    </w:lvl>
    <w:lvl w:ilvl="2" w:tplc="5754B2A4">
      <w:start w:val="1"/>
      <w:numFmt w:val="bullet"/>
      <w:lvlText w:val="■"/>
      <w:lvlJc w:val="left"/>
      <w:pPr>
        <w:ind w:left="2160" w:hanging="360"/>
      </w:pPr>
    </w:lvl>
    <w:lvl w:ilvl="3" w:tplc="E7AC490C">
      <w:start w:val="1"/>
      <w:numFmt w:val="bullet"/>
      <w:lvlText w:val="●"/>
      <w:lvlJc w:val="left"/>
      <w:pPr>
        <w:ind w:left="2880" w:hanging="360"/>
      </w:pPr>
    </w:lvl>
    <w:lvl w:ilvl="4" w:tplc="E2F8EE42">
      <w:start w:val="1"/>
      <w:numFmt w:val="bullet"/>
      <w:lvlText w:val="○"/>
      <w:lvlJc w:val="left"/>
      <w:pPr>
        <w:ind w:left="3600" w:hanging="360"/>
      </w:pPr>
    </w:lvl>
    <w:lvl w:ilvl="5" w:tplc="101AFC88">
      <w:start w:val="1"/>
      <w:numFmt w:val="bullet"/>
      <w:lvlText w:val="■"/>
      <w:lvlJc w:val="left"/>
      <w:pPr>
        <w:ind w:left="4320" w:hanging="360"/>
      </w:pPr>
    </w:lvl>
    <w:lvl w:ilvl="6" w:tplc="8ABE4268">
      <w:start w:val="1"/>
      <w:numFmt w:val="bullet"/>
      <w:lvlText w:val="●"/>
      <w:lvlJc w:val="left"/>
      <w:pPr>
        <w:ind w:left="5040" w:hanging="360"/>
      </w:pPr>
    </w:lvl>
    <w:lvl w:ilvl="7" w:tplc="09F6771A">
      <w:start w:val="1"/>
      <w:numFmt w:val="bullet"/>
      <w:lvlText w:val="●"/>
      <w:lvlJc w:val="left"/>
      <w:pPr>
        <w:ind w:left="5760" w:hanging="360"/>
      </w:pPr>
    </w:lvl>
    <w:lvl w:ilvl="8" w:tplc="7B0624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EE2438"/>
    <w:multiLevelType w:val="hybridMultilevel"/>
    <w:tmpl w:val="75884854"/>
    <w:lvl w:ilvl="0" w:tplc="3FD2B61E">
      <w:start w:val="1"/>
      <w:numFmt w:val="bullet"/>
      <w:lvlText w:val="•"/>
      <w:lvlJc w:val="left"/>
      <w:pPr>
        <w:ind w:left="720" w:hanging="360"/>
      </w:pPr>
    </w:lvl>
    <w:lvl w:ilvl="1" w:tplc="14A675CC">
      <w:numFmt w:val="decimal"/>
      <w:lvlText w:val=""/>
      <w:lvlJc w:val="left"/>
    </w:lvl>
    <w:lvl w:ilvl="2" w:tplc="7F86B4DA">
      <w:numFmt w:val="decimal"/>
      <w:lvlText w:val=""/>
      <w:lvlJc w:val="left"/>
    </w:lvl>
    <w:lvl w:ilvl="3" w:tplc="89ECBDB0">
      <w:numFmt w:val="decimal"/>
      <w:lvlText w:val=""/>
      <w:lvlJc w:val="left"/>
    </w:lvl>
    <w:lvl w:ilvl="4" w:tplc="88025BD0">
      <w:numFmt w:val="decimal"/>
      <w:lvlText w:val=""/>
      <w:lvlJc w:val="left"/>
    </w:lvl>
    <w:lvl w:ilvl="5" w:tplc="AC1C354E">
      <w:numFmt w:val="decimal"/>
      <w:lvlText w:val=""/>
      <w:lvlJc w:val="left"/>
    </w:lvl>
    <w:lvl w:ilvl="6" w:tplc="6FAC8FFC">
      <w:numFmt w:val="decimal"/>
      <w:lvlText w:val=""/>
      <w:lvlJc w:val="left"/>
    </w:lvl>
    <w:lvl w:ilvl="7" w:tplc="1B8E8A4E">
      <w:numFmt w:val="decimal"/>
      <w:lvlText w:val=""/>
      <w:lvlJc w:val="left"/>
    </w:lvl>
    <w:lvl w:ilvl="8" w:tplc="5CE2D96C">
      <w:numFmt w:val="decimal"/>
      <w:lvlText w:val=""/>
      <w:lvlJc w:val="left"/>
    </w:lvl>
  </w:abstractNum>
  <w:num w:numId="1" w16cid:durableId="1514146183">
    <w:abstractNumId w:val="0"/>
    <w:lvlOverride w:ilvl="0">
      <w:startOverride w:val="1"/>
    </w:lvlOverride>
  </w:num>
  <w:num w:numId="2" w16cid:durableId="728197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82F"/>
    <w:rsid w:val="003237EB"/>
    <w:rsid w:val="003B6556"/>
    <w:rsid w:val="0092582F"/>
    <w:rsid w:val="00B11D7B"/>
    <w:rsid w:val="00E0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D9CAC7"/>
  <w15:docId w15:val="{226A7331-0278-5146-A891-52876C9B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4E70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i/>
      <w:iCs/>
      <w:color w:val="4A4A4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1656</Words>
  <Characters>9442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 Stier</cp:lastModifiedBy>
  <cp:revision>3</cp:revision>
  <dcterms:created xsi:type="dcterms:W3CDTF">2026-04-23T13:52:00Z</dcterms:created>
  <dcterms:modified xsi:type="dcterms:W3CDTF">2026-04-23T14:25:00Z</dcterms:modified>
</cp:coreProperties>
</file>