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4358C" w:rsidRDefault="00000000">
      <w:pPr>
        <w:jc w:val="center"/>
        <w:rPr>
          <w:b/>
        </w:rPr>
      </w:pPr>
      <w:r>
        <w:rPr>
          <w:b/>
        </w:rPr>
        <w:t>Overview of MRB Amount Project</w:t>
      </w:r>
    </w:p>
    <w:p w14:paraId="00000002" w14:textId="77777777" w:rsidR="00A4358C" w:rsidRDefault="00000000">
      <w:r>
        <w:t xml:space="preserve">In December 2019, we established an experiment on the north shore backreef to examine the effects of </w:t>
      </w:r>
      <w:proofErr w:type="spellStart"/>
      <w:r>
        <w:rPr>
          <w:i/>
        </w:rPr>
        <w:t>Pocillopora</w:t>
      </w:r>
      <w:proofErr w:type="spellEnd"/>
      <w:r>
        <w:t xml:space="preserve"> habitat density on CAFI community assembly. To stage the experimental site, we removed coral rubble and large boulders from a 50 x 20m area, ~200m inshore of the reef crest near </w:t>
      </w:r>
      <w:proofErr w:type="spellStart"/>
      <w:r>
        <w:t>Maharepa</w:t>
      </w:r>
      <w:proofErr w:type="spellEnd"/>
      <w:r>
        <w:t xml:space="preserve"> township. We collected experimental colonies from the north shore forereef, in ~10m water depth just outside of Pao </w:t>
      </w:r>
      <w:proofErr w:type="spellStart"/>
      <w:r>
        <w:t>Pao</w:t>
      </w:r>
      <w:proofErr w:type="spellEnd"/>
      <w:r>
        <w:t xml:space="preserve"> Bay. For this experiment, we selected corals that were intermediate in size (~20-25cm diameter) and branch spacing. Before deployment, we cleared all corals of CAFI using the same method as the boat-based removal treatment from the previously described experiment, with the exception that we did not retain or quantify collected CAFI. </w:t>
      </w:r>
    </w:p>
    <w:p w14:paraId="00000003" w14:textId="77777777" w:rsidR="00A4358C" w:rsidRDefault="00000000">
      <w:r>
        <w:t>We attached corals to 20x20cm PVC plates using Z-Spar marine epoxy, then mounted the modules onto a 40x50cm concrete base consisting of two parallel cinderblocks. Next, we randomly assigned corals to one of three density treatments: solitary (LD, low density), group of 3 (MD, medium density), or group of 6 (HD, high density). We balanced replication to ensure that the same number of colonies (n = 18) were included in each treatment throughout the array. In total, the array consisted of 18 LD replicates, 6 MD replicates, and 3 HD replicates. We placed replicates 5m apart in a 9 x 3 array, with 6 LD, 2 MD, and 1 HD randomly allocated a position in each row. For MD treatments, we arranged units in a single-file row of 3 parallel to the reef crest. For HD treatments, we arranged units in two adjacent rows of three parallel to the reef crest. For both MD and HD treatments, distance among constituent corals measured ~50cm. Finally, we measured corals both manually and via photogrammetry, using the same methods as described for the previous experiment. For photogrammetry, we took images of each constituent coral individually. We did not collect nubbins from this experiment during deployment.</w:t>
      </w:r>
    </w:p>
    <w:p w14:paraId="00000004" w14:textId="77777777" w:rsidR="00A4358C" w:rsidRDefault="00000000">
      <w:r>
        <w:t xml:space="preserve">After 17 months (in May 2021), we revisited and surveyed the colonies for CAFI, coral size, and physiological condition. </w:t>
      </w:r>
      <w:sdt>
        <w:sdtPr>
          <w:tag w:val="goog_rdk_0"/>
          <w:id w:val="48505083"/>
        </w:sdtPr>
        <w:sdtContent/>
      </w:sdt>
      <w:r>
        <w:t>Sampling largely followed the same procedure as the breakdown of the CAFI removal experiment, with fish surveys followed by coral measurements, removal of nubbins, and finally collection for CAFI community surveys at Gump research station. During fish surveys of non-solitary units, we recorded fish on all constituent corals in the same survey, as fishes often moved between corals within a cluster. For this experiment, we measured CAFI using a combination of on-site measurements with calipers and photography-based measurement in ImageJ. We also did not measure worms or very small individuals (&lt;5mm in their primary measurement) that would not appreciably contribute to per-colony CAFI biomass.</w:t>
      </w:r>
    </w:p>
    <w:p w14:paraId="00000005" w14:textId="77777777" w:rsidR="00A4358C" w:rsidRDefault="00A4358C"/>
    <w:sectPr w:rsidR="00A435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C9FBBC29-3547-6042-B9C3-4162ECAB1396}"/>
    <w:embedBold r:id="rId2" w:fontKey="{34895A99-DEA3-EC45-97B7-BDFAD5011B19}"/>
    <w:embedItalic r:id="rId3" w:fontKey="{97EF8CF7-50A2-F94A-A816-B86E76B1121D}"/>
  </w:font>
  <w:font w:name="Aptos Display">
    <w:panose1 w:val="020B0004020202020204"/>
    <w:charset w:val="00"/>
    <w:family w:val="swiss"/>
    <w:pitch w:val="variable"/>
    <w:sig w:usb0="20000287" w:usb1="00000003" w:usb2="00000000" w:usb3="00000000" w:csb0="0000019F" w:csb1="00000000"/>
    <w:embedRegular r:id="rId4" w:fontKey="{612A4672-E944-EA42-A194-2053B6FE6B34}"/>
  </w:font>
  <w:font w:name="Times New Roman">
    <w:panose1 w:val="02020603050405020304"/>
    <w:charset w:val="00"/>
    <w:family w:val="roman"/>
    <w:pitch w:val="variable"/>
    <w:sig w:usb0="E0002EFF" w:usb1="C000785B" w:usb2="00000009" w:usb3="00000000" w:csb0="000001FF" w:csb1="00000000"/>
    <w:embedRegular r:id="rId5" w:fontKey="{6CF6562F-1430-2846-82C5-E1642DC9622E}"/>
    <w:embedBold r:id="rId6" w:fontKey="{CA277A79-62AE-CB4A-B9C2-16F26D9ACFF7}"/>
    <w:embedItalic r:id="rId7" w:fontKey="{28844C48-17A6-A341-9F6D-65F67D22050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58C"/>
    <w:rsid w:val="0013769C"/>
    <w:rsid w:val="00A4358C"/>
    <w:rsid w:val="00ED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A4CFA91C-B03A-E240-88D6-1749AD9E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A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A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A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A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00A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00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AB2"/>
    <w:rPr>
      <w:rFonts w:eastAsiaTheme="majorEastAsia" w:cstheme="majorBidi"/>
      <w:color w:val="272727" w:themeColor="text1" w:themeTint="D8"/>
    </w:rPr>
  </w:style>
  <w:style w:type="character" w:customStyle="1" w:styleId="TitleChar">
    <w:name w:val="Title Char"/>
    <w:basedOn w:val="DefaultParagraphFont"/>
    <w:link w:val="Title"/>
    <w:uiPriority w:val="10"/>
    <w:rsid w:val="00200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200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AB2"/>
    <w:pPr>
      <w:spacing w:before="160"/>
      <w:jc w:val="center"/>
    </w:pPr>
    <w:rPr>
      <w:i/>
      <w:iCs/>
      <w:color w:val="404040" w:themeColor="text1" w:themeTint="BF"/>
    </w:rPr>
  </w:style>
  <w:style w:type="character" w:customStyle="1" w:styleId="QuoteChar">
    <w:name w:val="Quote Char"/>
    <w:basedOn w:val="DefaultParagraphFont"/>
    <w:link w:val="Quote"/>
    <w:uiPriority w:val="29"/>
    <w:rsid w:val="00200AB2"/>
    <w:rPr>
      <w:i/>
      <w:iCs/>
      <w:color w:val="404040" w:themeColor="text1" w:themeTint="BF"/>
    </w:rPr>
  </w:style>
  <w:style w:type="paragraph" w:styleId="ListParagraph">
    <w:name w:val="List Paragraph"/>
    <w:basedOn w:val="Normal"/>
    <w:uiPriority w:val="34"/>
    <w:qFormat/>
    <w:rsid w:val="00200AB2"/>
    <w:pPr>
      <w:ind w:left="720"/>
      <w:contextualSpacing/>
    </w:pPr>
  </w:style>
  <w:style w:type="character" w:styleId="IntenseEmphasis">
    <w:name w:val="Intense Emphasis"/>
    <w:basedOn w:val="DefaultParagraphFont"/>
    <w:uiPriority w:val="21"/>
    <w:qFormat/>
    <w:rsid w:val="00200AB2"/>
    <w:rPr>
      <w:i/>
      <w:iCs/>
      <w:color w:val="0F4761" w:themeColor="accent1" w:themeShade="BF"/>
    </w:rPr>
  </w:style>
  <w:style w:type="paragraph" w:styleId="IntenseQuote">
    <w:name w:val="Intense Quote"/>
    <w:basedOn w:val="Normal"/>
    <w:next w:val="Normal"/>
    <w:link w:val="IntenseQuoteChar"/>
    <w:uiPriority w:val="30"/>
    <w:qFormat/>
    <w:rsid w:val="00200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AB2"/>
    <w:rPr>
      <w:i/>
      <w:iCs/>
      <w:color w:val="0F4761" w:themeColor="accent1" w:themeShade="BF"/>
    </w:rPr>
  </w:style>
  <w:style w:type="character" w:styleId="IntenseReference">
    <w:name w:val="Intense Reference"/>
    <w:basedOn w:val="DefaultParagraphFont"/>
    <w:uiPriority w:val="32"/>
    <w:qFormat/>
    <w:rsid w:val="00200AB2"/>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Qf0GVDGOtxSNmMU7/6sg9TpGWw==">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420</Words>
  <Characters>2395</Characters>
  <Application>Microsoft Office Word</Application>
  <DocSecurity>0</DocSecurity>
  <Lines>19</Lines>
  <Paragraphs>5</Paragraphs>
  <ScaleCrop>false</ScaleCrop>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Mcalpin Cryan</dc:creator>
  <cp:lastModifiedBy>Adrian Stier</cp:lastModifiedBy>
  <cp:revision>2</cp:revision>
  <dcterms:created xsi:type="dcterms:W3CDTF">2025-02-03T19:30:00Z</dcterms:created>
  <dcterms:modified xsi:type="dcterms:W3CDTF">2025-10-27T17:20:00Z</dcterms:modified>
</cp:coreProperties>
</file>