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keepNext/>
        <w:pBdr>
          <w:bottom w:val="single" w:color="1F3864" w:sz="14" w:space="4"/>
        </w:pBdr>
        <w:spacing w:before="340" w:after="100"/>
      </w:pPr>
      <w:r>
        <w:rPr>
          <w:rFonts w:ascii="Calibri" w:hAnsi="Calibri" w:cs="Calibri" w:eastAsia="Calibri"/>
          <w:color w:val="1F3864"/>
          <w:b/>
        </w:rPr>
        <w:t xml:space="preserve">LTH RNA-seq — analysis notes</w:t>
      </w:r>
    </w:p>
    <w:bookmarkStart w:id="15" w:name="lth-rna-seq--analysis-notes"/>
    <w:p>
      <w:pPr>
        <w:pStyle w:val="Heading1"/>
        <w:keepNext/>
        <w:pBdr>
          <w:bottom w:val="single" w:color="1F3864" w:sz="14" w:space="4"/>
        </w:pBdr>
        <w:spacing w:before="340" w:after="100"/>
      </w:pPr>
      <w:r>
        <w:rPr>
          <w:rFonts w:ascii="Calibri" w:hAnsi="Calibri" w:cs="Calibri" w:eastAsia="Calibri"/>
          <w:color w:val="1F3864"/>
          <w:b/>
        </w:rPr>
        <w:t xml:space="preserve">LTH RNA-seq — analysis notes</w:t>
      </w:r>
    </w:p>
    <w:p>
      <w:pPr>
        <w:pStyle w:val="FirstParagraph"/>
      </w:pPr>
      <w:r>
        <w:rPr>
          <w:rFonts w:ascii="Calibri" w:hAnsi="Calibri" w:cs="Calibri" w:eastAsia="Calibri"/>
          <w:i/>
          <w:iCs/>
        </w:rPr>
        <w:t xml:space="preserve">LTH #17 — heat × wound ×</w:t>
      </w:r>
      <w:r>
        <w:rPr>
          <w:rFonts w:ascii="Calibri" w:hAnsi="Calibri" w:cs="Calibri" w:eastAsia="Calibri"/>
          <w:i/>
          <w:iCs/>
        </w:rPr>
        <w:t xml:space="preserve"> </w:t>
      </w:r>
      <w:r>
        <w:rPr>
          <w:rFonts w:ascii="Calibri" w:hAnsi="Calibri" w:cs="Calibri" w:eastAsia="Calibri"/>
          <w:i/>
          <w:i/>
          <w:iCs/>
          <w:iCs/>
        </w:rPr>
        <w:t xml:space="preserve">Acropora pulchra</w:t>
      </w:r>
      <w:r>
        <w:rPr>
          <w:rFonts w:ascii="Calibri" w:hAnsi="Calibri" w:cs="Calibri" w:eastAsia="Calibri"/>
          <w:i/>
          <w:iCs/>
        </w:rPr>
        <w:t xml:space="preserve">, Mahana/Tiahura, Mo'orea 2025.</w:t>
      </w:r>
    </w:p>
    <w:p>
      <w:pPr>
        <w:pStyle w:val="BodyText"/>
      </w:pPr>
      <w:r>
        <w:rPr>
          <w:rFonts w:ascii="Calibri" w:hAnsi="Calibri" w:cs="Calibri" w:eastAsia="Calibri"/>
        </w:rPr>
        <w:t>A quick map of the phenotype analysis. The phenotype inputs, code, figures, and tables are in this repo; the paths below point to the detail. Treat any analysis idea here as a starting point, not a recipe.</w:t>
      </w:r>
    </w:p>
    <w:bookmarkStart w:id="9" w:name="where-things-are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 xml:space="preserve">Where things are</w:t>
      </w:r>
    </w:p>
    <w:p>
      <w:pPr>
        <w:pStyle w:val="Compact"/>
        <w:numPr>
          <w:ilvl w:val="0"/>
          <w:numId w:val="1001"/>
        </w:numPr>
      </w:pPr>
      <w:r>
        <w:rPr>
          <w:rFonts w:ascii="Calibri" w:hAnsi="Calibri" w:cs="Calibri" w:eastAsia="Calibri"/>
          <w:rStyle w:val="VerbatimChar"/>
        </w:rPr>
        <w:t xml:space="preserve">README.md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(repo root) — how to run everything</w:t>
      </w:r>
    </w:p>
    <w:p>
      <w:pPr>
        <w:pStyle w:val="Compact"/>
        <w:numPr>
          <w:ilvl w:val="0"/>
          <w:numId w:val="1001"/>
        </w:numPr>
      </w:pPr>
      <w:r>
        <w:rPr>
          <w:rFonts w:ascii="Calibri" w:hAnsi="Calibri" w:cs="Calibri" w:eastAsia="Calibri"/>
          <w:rStyle w:val="VerbatimChar"/>
        </w:rPr>
        <w:t>RESULTS.docx — full results + limitations</w:t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</w:p>
    <w:p>
      <w:pPr>
        <w:pStyle w:val="Compact"/>
        <w:numPr>
          <w:ilvl w:val="0"/>
          <w:numId w:val="1001"/>
        </w:numPr>
      </w:pPr>
      <w:r>
        <w:rPr>
          <w:rFonts w:ascii="Calibri" w:hAnsi="Calibri" w:cs="Calibri" w:eastAsia="Calibri"/>
          <w:rStyle w:val="VerbatimChar"/>
        </w:rPr>
        <w:t xml:space="preserve">output/tables/20_master_results.csv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— every stat (effect size, test, df, p, CI). Cite this; don't retype numbers.</w:t>
      </w:r>
    </w:p>
    <w:p>
      <w:pPr>
        <w:pStyle w:val="Compact"/>
        <w:numPr>
          <w:ilvl w:val="0"/>
          <w:numId w:val="1001"/>
        </w:numPr>
      </w:pPr>
      <w:r>
        <w:rPr>
          <w:rFonts w:ascii="Calibri" w:hAnsi="Calibri" w:cs="Calibri" w:eastAsia="Calibri"/>
          <w:rStyle w:val="VerbatimChar"/>
        </w:rPr>
        <w:t xml:space="preserve">output/tables/31_rnaseq_phenotype_covariates.csv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— per-library phenotype covariates (join by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Fragment_ID</w:t>
      </w:r>
      <w:r>
        <w:rPr>
          <w:rFonts w:ascii="Calibri" w:hAnsi="Calibri" w:cs="Calibri" w:eastAsia="Calibri"/>
        </w:rP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Fonts w:ascii="Calibri" w:hAnsi="Calibri" w:cs="Calibri" w:eastAsia="Calibri"/>
          <w:rStyle w:val="VerbatimChar"/>
        </w:rPr>
        <w:t xml:space="preserve">output/tables/19_genet_resilience_summary.csv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— per-genet resilience scores</w:t>
      </w:r>
    </w:p>
    <w:p>
      <w:pPr>
        <w:pStyle w:val="Compact"/>
        <w:numPr>
          <w:ilvl w:val="0"/>
          <w:numId w:val="1001"/>
        </w:numPr>
      </w:pPr>
      <w:r>
        <w:rPr>
          <w:rFonts w:ascii="Calibri" w:hAnsi="Calibri" w:cs="Calibri" w:eastAsia="Calibri"/>
          <w:rStyle w:val="VerbatimChar"/>
        </w:rPr>
        <w:t xml:space="preserve">docs/rnaseq/candidate_genes_reference.csv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— verified candidate genes with sources</w:t>
      </w:r>
    </w:p>
    <w:p>
      <w:pPr>
        <w:pStyle w:val="Compact"/>
        <w:numPr>
          <w:ilvl w:val="0"/>
          <w:numId w:val="1001"/>
        </w:numPr>
      </w:pPr>
      <w:r>
        <w:rPr>
          <w:rFonts w:ascii="Calibri" w:hAnsi="Calibri" w:cs="Calibri" w:eastAsia="Calibri"/>
          <w:rStyle w:val="VerbatimChar"/>
        </w:rPr>
        <w:t>literature/LITERATURE.docx, manuscript/references.bib — references + PDFs</w:t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rStyle w:val="VerbatimChar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</w:p>
    <w:p>
      <w:pPr>
        <w:pStyle w:val="Compact"/>
        <w:numPr>
          <w:ilvl w:val="0"/>
          <w:numId w:val="1001"/>
        </w:numPr>
      </w:pPr>
      <w:r>
        <w:rPr>
          <w:rFonts w:ascii="Calibri" w:hAnsi="Calibri" w:cs="Calibri" w:eastAsia="Calibri"/>
          <w:rStyle w:val="VerbatimChar"/>
        </w:rPr>
        <w:t xml:space="preserve">notes/archive/sequencing-plan-keck-LTH.md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— plate design, QC, timeline</w:t>
      </w:r>
    </w:p>
    <w:bookmarkEnd w:id="9"/>
    <w:bookmarkStart w:id="10" w:name="status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 xml:space="preserve">Status</w:t>
      </w:r>
    </w:p>
    <w:p>
      <w:pPr>
        <w:pStyle w:val="Compact"/>
        <w:numPr>
          <w:ilvl w:val="0"/>
          <w:numId w:val="1002"/>
        </w:numPr>
      </w:pPr>
      <w:r>
        <w:rPr>
          <w:rFonts w:ascii="Calibri" w:hAnsi="Calibri" w:cs="Calibri" w:eastAsia="Calibri"/>
        </w:rPr>
        <w:t>The phenotype analysis is done and rebuilds from one command: Rscript code/_run_all.R (~4 min). It's written up in manuscript/Manuscript_LTH.docx.</w:t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rStyle w:val="VerbatimChar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rStyle w:val="VerbatimChar"/>
        </w:rPr>
      </w:r>
      <w:r>
        <w:rPr>
          <w:rFonts w:ascii="Calibri" w:hAnsi="Calibri" w:cs="Calibri" w:eastAsia="Calibri"/>
        </w:rPr>
      </w:r>
    </w:p>
    <w:p>
      <w:pPr>
        <w:pStyle w:val="Compact"/>
        <w:numPr>
          <w:ilvl w:val="0"/>
          <w:numId w:val="1002"/>
        </w:numPr>
      </w:pPr>
      <w:r>
        <w:rPr>
          <w:rFonts w:ascii="Calibri" w:hAnsi="Calibri" w:cs="Calibri" w:eastAsia="Calibri"/>
        </w:rPr>
        <w:t xml:space="preserve">The RNA-seq libraries are waiting to be sequenced — that's the open piece.</w:t>
      </w:r>
    </w:p>
    <w:p>
      <w:pPr>
        <w:pStyle w:val="Compact"/>
        <w:numPr>
          <w:ilvl w:val="0"/>
          <w:numId w:val="1002"/>
        </w:numPr>
      </w:pPr>
      <w:r>
        <w:rPr>
          <w:rFonts w:ascii="Calibri" w:hAnsi="Calibri" w:cs="Calibri" w:eastAsia="Calibri"/>
          <w:rStyle w:val="VerbatimChar"/>
        </w:rPr>
        <w:t xml:space="preserve">code/30_manuscript_audit.R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re-checks the phenotype numbers (15/15 pass). It doesn't touch the narrative or the transcriptomics.</w:t>
      </w:r>
    </w:p>
    <w:bookmarkEnd w:id="10"/>
    <w:bookmarkStart w:id="11" w:name="library-design-as-built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 xml:space="preserve">Library design (as built)</w:t>
      </w:r>
    </w:p>
    <w:p>
      <w:pPr>
        <w:pStyle w:val="Compact"/>
        <w:numPr>
          <w:ilvl w:val="0"/>
          <w:numId w:val="1003"/>
        </w:numPr>
      </w:pPr>
      <w:r>
        <w:rPr>
          <w:rFonts w:ascii="Calibri" w:hAnsi="Calibri" w:cs="Calibri" w:eastAsia="Calibri"/>
        </w:rPr>
        <w:t>144 libraries = 4 tanks x 3 thicket/genet labels x 2 wound states x 3 days x 2 temperatures.</w:t>
      </w:r>
    </w:p>
    <w:p>
      <w:pPr>
        <w:pStyle w:val="Compact"/>
        <w:numPr>
          <w:ilvl w:val="0"/>
          <w:numId w:val="1003"/>
        </w:numPr>
      </w:pPr>
      <w:r>
        <w:rPr>
          <w:rFonts w:ascii="Calibri" w:hAnsi="Calibri" w:cs="Calibri" w:eastAsia="Calibri"/>
        </w:rPr>
        <w:t xml:space="preserve">28 °C (ambient) vs 31 °C (chronic heat, weeks)</w:t>
      </w:r>
    </w:p>
    <w:p>
      <w:pPr>
        <w:pStyle w:val="Compact"/>
        <w:numPr>
          <w:ilvl w:val="0"/>
          <w:numId w:val="1003"/>
        </w:numPr>
      </w:pPr>
      <w:r>
        <w:rPr>
          <w:rFonts w:ascii="Calibri" w:hAnsi="Calibri" w:cs="Calibri" w:eastAsia="Calibri"/>
        </w:rPr>
        <w:t>Wounded (about 1 cm clipped from the growing tip) vs no-wound control; verify exact control handling before calling it a sham.</w:t>
      </w:r>
    </w:p>
    <w:p>
      <w:pPr>
        <w:pStyle w:val="Compact"/>
        <w:numPr>
          <w:ilvl w:val="0"/>
          <w:numId w:val="1003"/>
        </w:numPr>
      </w:pPr>
      <w:r>
        <w:rPr>
          <w:rFonts w:ascii="Calibri" w:hAnsi="Calibri" w:cs="Calibri" w:eastAsia="Calibri"/>
        </w:rPr>
        <w:t>3 field thickets A, C, D (field labels used as genet proxies; not yet matched to Cunning's numbered genets)</w:t>
      </w:r>
    </w:p>
    <w:p>
      <w:pPr>
        <w:pStyle w:val="Compact"/>
        <w:numPr>
          <w:ilvl w:val="0"/>
          <w:numId w:val="1003"/>
        </w:numPr>
      </w:pPr>
      <w:r>
        <w:rPr>
          <w:rFonts w:ascii="Calibri" w:hAnsi="Calibri" w:cs="Calibri" w:eastAsia="Calibri"/>
        </w:rPr>
        <w:t xml:space="preserve">Wound-margin biopsy vs matched unwounded margin</w:t>
      </w:r>
    </w:p>
    <w:p>
      <w:pPr>
        <w:pStyle w:val="Compact"/>
        <w:numPr>
          <w:ilvl w:val="0"/>
          <w:numId w:val="1003"/>
        </w:numPr>
      </w:pPr>
      <w:r>
        <w:rPr>
          <w:rFonts w:ascii="Calibri" w:hAnsi="Calibri" w:cs="Calibri" w:eastAsia="Calibri"/>
        </w:rPr>
        <w:t xml:space="preserve">Days 1, 3, 10 (Day 15 was sampled but we didn't analyze it)</w:t>
      </w:r>
    </w:p>
    <w:p>
      <w:pPr>
        <w:pStyle w:val="Compact"/>
        <w:numPr>
          <w:ilvl w:val="0"/>
          <w:numId w:val="1003"/>
        </w:numPr>
      </w:pPr>
      <w:r>
        <w:rPr>
          <w:rFonts w:ascii="Calibri" w:hAnsi="Calibri" w:cs="Calibri" w:eastAsia="Calibri"/>
        </w:rPr>
        <w:t>Two 96-well plates, with all major treatment combinations represented on both plates, one NovaSeq 25B lane. Plating, QC, and timeline are in the sequencing plan.</w:t>
      </w:r>
    </w:p>
    <w:bookmarkEnd w:id="11"/>
    <w:bookmarkStart w:id="12" w:name="what-the-phenotype-data-are-asking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 xml:space="preserve">What the phenotype data are asking</w:t>
      </w:r>
    </w:p>
    <w:p>
      <w:pPr>
        <w:pStyle w:val="FirstParagraph"/>
      </w:pPr>
      <w:r>
        <w:rPr>
          <w:rFonts w:ascii="Calibri" w:hAnsi="Calibri" w:cs="Calibri" w:eastAsia="Calibri"/>
        </w:rPr>
        <w:t xml:space="preserve">You pick the model. Each of these can confirm, extend, or revise a phenotype result — we're naming processes, not genes, so keep discovery genome-wide.</w:t>
      </w:r>
    </w:p>
    <w:p>
      <w:pPr>
        <w:pStyle w:val="FirstParagraph"/>
      </w:pPr>
      <w:r>
        <w:t>Minimum design constraints: include temperature, wound state, day, thicket/genet label, tank/blocking, plate, extraction batch, and library-prep batch in the model or in documented QC checks.</w:t>
      </w:r>
    </w:p>
    <w:p>
      <w:pPr>
        <w:pStyle w:val="Compact"/>
        <w:numPr>
          <w:ilvl w:val="0"/>
          <w:numId w:val="1004"/>
        </w:numPr>
      </w:pPr>
      <w:r>
        <w:rPr>
          <w:rFonts w:ascii="Calibri" w:hAnsi="Calibri" w:cs="Calibri" w:eastAsia="Calibri"/>
          <w:b/>
          <w:bCs/>
        </w:rPr>
        <w:t xml:space="preserve">Does heat block regeneration but spare healing?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Wounds close the same at both temps, but new corallites stall under heat (time ratio 1.32, p = 1.4e-7; Cox HR 0.22; 67% closed-but-never-regrew at 31 °C vs 0% at 28 °C). Look at temp × timepoint in wounded margins — clearest at Day 10.</w:t>
      </w:r>
    </w:p>
    <w:p>
      <w:pPr>
        <w:pStyle w:val="Compact"/>
        <w:numPr>
          <w:ilvl w:val="0"/>
          <w:numId w:val="1004"/>
        </w:numPr>
      </w:pPr>
      <w:r>
        <w:rPr>
          <w:rFonts w:ascii="Calibri" w:hAnsi="Calibri" w:cs="Calibri" w:eastAsia="Calibri"/>
          <w:b/>
          <w:bCs/>
        </w:rPr>
        <w:t>Why is genet C tougher? It keeps its photochemistry, color, and symbionts far better (heat hits it 2.7–3.5× less than A/D; multivariate shift 1.02 vs 3.71 A / 3.38 D). Could be a smaller heat response, or a higher baseline or early heat-exposure expression. Look at genet C vs genets A/D by temperature in unwounded margins. Because the 144-library design uses D1/D3/D10, do not call this a D0 baseline test unless D0 libraries are added.</w:t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</w:p>
    <w:p>
      <w:pPr>
        <w:pStyle w:val="Compact"/>
        <w:numPr>
          <w:ilvl w:val="0"/>
          <w:numId w:val="1004"/>
        </w:numPr>
      </w:pPr>
      <w:r>
        <w:rPr>
          <w:rFonts w:ascii="Calibri" w:hAnsi="Calibri" w:cs="Calibri" w:eastAsia="Calibri"/>
          <w:b/>
          <w:bCs/>
        </w:rPr>
        <w:t xml:space="preserve">Chronic, not an acute heat-shock spike?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31 °C is ~4.4 °C under the acute ED50 (35.4 °C; Cunning et al. 2024), and wounding happened 7 days into the heat — so expect sustained/frontloaded signals, not a quick HSP70 burst.</w:t>
      </w:r>
    </w:p>
    <w:p>
      <w:pPr>
        <w:pStyle w:val="Compact"/>
        <w:numPr>
          <w:ilvl w:val="0"/>
          <w:numId w:val="1004"/>
        </w:numPr>
      </w:pPr>
      <w:r>
        <w:rPr>
          <w:rFonts w:ascii="Calibri" w:hAnsi="Calibri" w:cs="Calibri" w:eastAsia="Calibri"/>
          <w:b/>
          <w:bCs/>
        </w:rPr>
        <w:t xml:space="preserve">Does wounding flatten the genet differences?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The genet spread is big unwounded (A 0.99, D 0.87, C 0.44) and shrinks when wounded (A 0.36, D 0.26, C 0.28).</w:t>
      </w:r>
    </w:p>
    <w:bookmarkEnd w:id="12"/>
    <w:bookmarkStart w:id="13" w:name="genet-matching--worth-chasing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 xml:space="preserve">Genet-matching — worth chasing</w:t>
      </w:r>
    </w:p>
    <w:p>
      <w:pPr>
        <w:pStyle w:val="FirstParagraph"/>
      </w:pPr>
      <w:r>
        <w:rPr>
          <w:rFonts w:ascii="Calibri" w:hAnsi="Calibri" w:cs="Calibri" w:eastAsia="Calibri"/>
        </w:rPr>
        <w:t xml:space="preserve">Cunning et al. 2024 (</w:t>
      </w:r>
      <w:r>
        <w:rPr>
          <w:rFonts w:ascii="Calibri" w:hAnsi="Calibri" w:cs="Calibri" w:eastAsia="Calibri"/>
          <w:i/>
          <w:iCs/>
        </w:rPr>
        <w:t xml:space="preserve">Coral Reefs</w:t>
      </w:r>
      <w:r>
        <w:rPr>
          <w:rFonts w:ascii="Calibri" w:hAnsi="Calibri" w:cs="Calibri" w:eastAsia="Calibri"/>
        </w:rPr>
        <w:t xml:space="preserve">, doi:10.1007/s00338-024-02577-7) has acute CBASS ED50 for 20 genotyped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 xml:space="preserve">A. pulchra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genets from the same Mahana site.</w:t>
      </w:r>
    </w:p>
    <w:p>
      <w:pPr>
        <w:pStyle w:val="Compact"/>
        <w:numPr>
          <w:ilvl w:val="0"/>
          <w:numId w:val="1005"/>
        </w:numPr>
      </w:pPr>
      <w:r>
        <w:rPr>
          <w:rFonts w:ascii="Calibri" w:hAnsi="Calibri" w:cs="Calibri" w:eastAsia="Calibri"/>
        </w:rPr>
        <w:t>Call SNPs from the host reads, match A/C/D to their genets, and test whether acute ED50 predicts our chronic ranking C &gt; D &gt; A — a cross-method test.</w:t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b/>
          <w:bCs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</w:p>
    <w:p>
      <w:pPr>
        <w:pStyle w:val="Compact"/>
        <w:numPr>
          <w:ilvl w:val="0"/>
          <w:numId w:val="1005"/>
        </w:numPr>
      </w:pPr>
      <w:r>
        <w:rPr>
          <w:rFonts w:ascii="Calibri" w:hAnsi="Calibri" w:cs="Calibri" w:eastAsia="Calibri"/>
        </w:rPr>
        <w:t xml:space="preserve">Their genotypes: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github.com/jrcunning/CBASS_methods</w:t>
      </w:r>
      <w:r>
        <w:rPr>
          <w:rFonts w:ascii="Calibri" w:hAnsi="Calibri" w:cs="Calibri" w:eastAsia="Calibri"/>
        </w:rP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Fonts w:ascii="Calibri" w:hAnsi="Calibri" w:cs="Calibri" w:eastAsia="Calibri"/>
        </w:rPr>
        <w:t xml:space="preserve">If matching doesn't work, the population-level point still stands: both methods find heritable heat-tolerance variation at Mahana.</w:t>
      </w:r>
    </w:p>
    <w:bookmarkEnd w:id="13"/>
    <w:bookmarkStart w:id="14" w:name="candidate-genes-optional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 xml:space="preserve">Candidate genes (optional)</w:t>
      </w:r>
    </w:p>
    <w:p>
      <w:pPr>
        <w:pStyle w:val="FirstParagraph"/>
      </w:pPr>
      <w:r>
        <w:rPr>
          <w:rFonts w:ascii="Calibri" w:hAnsi="Calibri" w:cs="Calibri" w:eastAsia="Calibri"/>
        </w:rPr>
        <w:t>Background for interpretation, not a target panel — run the differential-expression analysis genome-wide before using these genes for interpretation. Verified gene→paper tables are in candidate_genes_reference.csv; DOIs and PDFs are in literature/LITERATURE.docx. Two ways to read the data:</w:t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rStyle w:val="VerbatimChar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rStyle w:val="VerbatimChar"/>
        </w:rPr>
      </w:r>
      <w:r>
        <w:rPr>
          <w:rFonts w:ascii="Calibri" w:hAnsi="Calibri" w:cs="Calibri" w:eastAsia="Calibri"/>
        </w:rPr>
      </w:r>
    </w:p>
    <w:p>
      <w:pPr>
        <w:pStyle w:val="Compact"/>
        <w:numPr>
          <w:ilvl w:val="0"/>
          <w:numId w:val="1006"/>
        </w:numPr>
      </w:pPr>
      <w:r>
        <w:rPr>
          <w:rFonts w:ascii="Calibri" w:hAnsi="Calibri" w:cs="Calibri" w:eastAsia="Calibri"/>
          <w:b/>
          <w:bCs/>
        </w:rPr>
        <w:t xml:space="preserve">Frontloading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(Barshis 2013): tolerance = a higher baseline, not a bigger induction → compare per-genet baselines (the molecular version of C &gt; D &gt; A).</w:t>
      </w:r>
    </w:p>
    <w:p>
      <w:pPr>
        <w:pStyle w:val="Compact"/>
        <w:numPr>
          <w:ilvl w:val="0"/>
          <w:numId w:val="1006"/>
        </w:numPr>
      </w:pPr>
      <w:r>
        <w:rPr>
          <w:rFonts w:ascii="Calibri" w:hAnsi="Calibri" w:cs="Calibri" w:eastAsia="Calibri"/>
          <w:b/>
          <w:bCs/>
        </w:rPr>
        <w:t xml:space="preserve">Heat-tolerance ↔ growth tradeoff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(Cornwell 2021): tougher colonies grow less → a candidate reason for the 34% lower growth at 31 °C.</w:t>
      </w:r>
    </w:p>
    <w:p>
      <w:pPr>
        <w:pStyle w:val="FirstParagraph"/>
      </w:pPr>
      <w:r>
        <w:rPr>
          <w:rFonts w:ascii="Calibri" w:hAnsi="Calibri" w:cs="Calibri" w:eastAsia="Calibri"/>
        </w:rPr>
        <w:t>Map these to loci against the A. pulchra Conn 2025 genome first, and test pathways/modules, not just single genes.</w:t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i/>
          <w:iCs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</w:p>
    <w:bookmarkEnd w:id="14"/>
    <w:bookmarkEnd w:id="15"/>
    <w:sectPr>
      <w:footnotePr>
        <w:numRestart w:val="eachSect"/>
      </w:footnotePr>
      <w:pgSz w:w="12240" w:h="15840"/>
      <w:pgMar w:left="1080" w:right="108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 w:ascii="Calibri" w:hAnsi="Calibri" w:cs="Calibri" w:eastAsia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LTH RNA-seq — analysis notes</dc:title>
  <dc:creator/>
  <cp:keywords/>
  <dcterms:created xsi:type="dcterms:W3CDTF">2026-07-02T18:13:27Z</dcterms:created>
  <dcterms:modified xsi:type="dcterms:W3CDTF">2026-07-02T18:13:27Z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