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3" w:name="Xa6279db66d82075148fa480ccb9db32b0749966"/>
    <w:p>
      <w:pPr>
        <w:pStyle w:val="Heading1"/>
        <w:keepNext/>
        <w:pBdr>
          <w:bottom w:val="single" w:color="1F3864" w:sz="14" w:space="4"/>
        </w:pBdr>
        <w:spacing w:before="340" w:after="100"/>
      </w:pPr>
      <w:r>
        <w:rPr>
          <w:rFonts w:ascii="Calibri" w:hAnsi="Calibri" w:cs="Calibri" w:eastAsia="Calibri"/>
          <w:color w:val="1F3864"/>
          <w:b/>
        </w:rPr>
        <w:t xml:space="preserve">Figure Index — LTH (Heat × Wound ×</w:t>
      </w:r>
      <w:r>
        <w:rPr>
          <w:rFonts w:ascii="Calibri" w:hAnsi="Calibri" w:cs="Calibri" w:eastAsia="Calibri"/>
          <w:color w:val="1F3864"/>
          <w:b/>
        </w:rPr>
        <w:t xml:space="preserve"> </w:t>
      </w:r>
      <w:r>
        <w:rPr>
          <w:rFonts w:ascii="Calibri" w:hAnsi="Calibri" w:cs="Calibri" w:eastAsia="Calibri"/>
          <w:i/>
          <w:iCs/>
          <w:color w:val="1F3864"/>
          <w:b/>
        </w:rPr>
        <w:t xml:space="preserve">A. pulchra</w:t>
      </w:r>
      <w:r>
        <w:rPr>
          <w:rFonts w:ascii="Calibri" w:hAnsi="Calibri" w:cs="Calibri" w:eastAsia="Calibri"/>
          <w:color w:val="1F3864"/>
          <w:b/>
        </w:rPr>
        <w:t xml:space="preserve">, Mo'orea 2025)</w:t>
      </w:r>
    </w:p>
    <w:p>
      <w:pPr>
        <w:pStyle w:val="BlockText"/>
      </w:pPr>
      <w:r>
        <w:rPr>
          <w:rFonts w:ascii="Calibri" w:hAnsi="Calibri" w:cs="Calibri" w:eastAsia="Calibri"/>
          <w:b/>
          <w:bCs/>
        </w:rPr>
        <w:t xml:space="preserve">Catalog of every figure → its script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· Updated 2026-07-02 · Index:</w:t>
      </w:r>
      <w:r>
        <w:rPr>
          <w:rFonts w:ascii="Calibri" w:hAnsi="Calibri" w:cs="Calibri" w:eastAsia="Calibri"/>
        </w:rPr>
        <w:t xml:space="preserve"> </w:t>
      </w:r>
      <w:hyperlink r:id="rId9">
        <w:r>
          <w:rPr>
            <w:rStyle w:val="VerbatimChar"/>
          </w:rPr>
          <w:t xml:space="preserve">README.md</w:t>
        </w:r>
      </w:hyperlink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· figures built by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code/13–16,19,26</w:t>
      </w:r>
      <w:r>
        <w:rPr>
          <w:rFonts w:ascii="Calibri" w:hAnsi="Calibri" w:cs="Calibri" w:eastAsia="Calibri"/>
        </w:rPr>
        <w:t xml:space="preserve">.</w:t>
      </w:r>
    </w:p>
    <w:p>
      <w:pPr>
        <w:pStyle w:val="FirstParagraph"/>
      </w:pPr>
      <w:r>
        <w:rPr>
          <w:rFonts w:ascii="Calibri" w:hAnsi="Calibri" w:cs="Calibri" w:eastAsia="Calibri"/>
        </w:rPr>
        <w:t>Lists the PNG figures in figures/ (each has a matching PDF where applicable), the code/NN_*.R script that makes each, and where it appears in the manuscript. Re-run the figure audit before submission so the catalog cannot drift from the directory.</w:t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rStyle w:val="VerbatimChar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rStyle w:val="VerbatimChar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rStyle w:val="VerbatimChar"/>
        </w:rPr>
      </w:r>
      <w:r>
        <w:rPr>
          <w:rFonts w:ascii="Calibri" w:hAnsi="Calibri" w:cs="Calibri" w:eastAsia="Calibri"/>
        </w:rPr>
      </w:r>
    </w:p>
    <w:p>
      <w:r>
        <w:rPr>
          <w:rFonts w:ascii="Calibri" w:hAnsi="Calibri" w:cs="Calibri" w:eastAsia="Calibri"/>
        </w:rPr>
        <w:pict>
          <v:rect style="width:0;height:1.5pt" o:hralign="center" o:hrstd="t" o:hr="t"/>
        </w:pict>
      </w:r>
    </w:p>
    <w:bookmarkStart w:id="10" w:name="X7af44e70c86ad6e89a06f90290247412f6d2994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>Start with these figures</w:t>
      </w:r>
    </w:p>
    <w:p>
      <w:pPr>
        <w:pStyle w:val="FirstParagraph"/>
      </w:pPr>
      <w:r>
        <w:rPr>
          <w:rFonts w:ascii="Calibri" w:hAnsi="Calibri" w:cs="Calibri" w:eastAsia="Calibri"/>
        </w:rPr>
        <w:t xml:space="preserve">Five figures that tell the core story from start to finish:</w:t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cs="Calibri" w:eastAsia="Calibri"/>
          <w:rStyle w:val="VerbatimChar"/>
          <w:b/>
          <w:bCs/>
        </w:rPr>
        <w:t>08_apex_temperature.png — (a) shows tanks stayed near 28 C or 31 C (the heat ramp and steady state).</w:t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i/>
          <w:iCs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cs="Calibri" w:eastAsia="Calibri"/>
          <w:rStyle w:val="VerbatimChar"/>
          <w:b/>
          <w:bCs/>
        </w:rPr>
        <w:t>14_morphology_KM.png — (b) tissue closure vs new skeletal growth: Kaplan-Meier curves showing that tissue still heals under heat but skeleton often fails to regrow.</w:t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i/>
          <w:iCs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cs="Calibri" w:eastAsia="Calibri"/>
          <w:rStyle w:val="VerbatimChar"/>
          <w:b/>
          <w:bCs/>
        </w:rPr>
        <w:t xml:space="preserve">16_manuscript_fig1.png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—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 xml:space="preserve">(b+c summary: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the 4-panel publication figure — temperature, Fv/Fm, KM healing-vs-regeneration, PCA — the whole story in one figure.</w:t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cs="Calibri" w:eastAsia="Calibri"/>
          <w:rStyle w:val="VerbatimChar"/>
          <w:b/>
          <w:bCs/>
        </w:rPr>
        <w:t xml:space="preserve">19_genet_dashboard.png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—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 xml:space="preserve">(c) genet variation: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forest plot of standardized heat sensitivity across all responses, showing the tough genet (c) versus the sensitive ones (a, d).</w:t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cs="Calibri" w:eastAsia="Calibri"/>
          <w:rStyle w:val="VerbatimChar"/>
          <w:b/>
          <w:bCs/>
        </w:rPr>
        <w:t>26_thermal_context.png — (d) 31 C below acute ED50 but stressful over weeks: puts 28/31 °C next to Cunning et al. 2024 acute CBASS ED50s for the same species and island — 31 °C is chronic but sublethal.</w:t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i/>
          <w:iCs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</w:p>
    <w:p>
      <w:r>
        <w:rPr>
          <w:rFonts w:ascii="Calibri" w:hAnsi="Calibri" w:cs="Calibri" w:eastAsia="Calibri"/>
        </w:rPr>
        <w:pict>
          <v:rect style="width:0;height:1.5pt" o:hralign="center" o:hrstd="t" o:hr="t"/>
        </w:pict>
      </w:r>
    </w:p>
    <w:bookmarkEnd w:id="10"/>
    <w:bookmarkStart w:id="11" w:name="manuscript-reference-check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 xml:space="preserve">Manuscript reference check</w:t>
      </w:r>
    </w:p>
    <w:p>
      <w:pPr>
        <w:pStyle w:val="FirstParagraph"/>
        <w:keepNext/>
      </w:pPr>
      <w:r>
        <w:rPr>
          <w:rFonts w:ascii="Calibri" w:hAnsi="Calibri" w:cs="Calibri" w:eastAsia="Calibri"/>
        </w:rPr>
        <w:t xml:space="preserve">How the manuscript's figure references map to files:</w:t>
      </w:r>
    </w:p>
    <w:tbl>
      <w:tblPr>
        <w:tblStyle w:val="Table"/>
        <w:tblW w:type="pct" w:w="5000"/>
        <w:tblBorders>
          <w:top w:val="single" w:sz="2" w:color="C7D2E2" w:space="0"/>
          <w:left w:val="single" w:sz="2" w:color="C7D2E2" w:space="0"/>
          <w:bottom w:val="single" w:sz="2" w:color="C7D2E2" w:space="0"/>
          <w:right w:val="single" w:sz="2" w:color="C7D2E2" w:space="0"/>
          <w:insideH w:val="single" w:sz="2" w:color="C7D2E2" w:space="0"/>
          <w:insideV w:val="single" w:sz="2" w:color="C7D2E2" w:space="0"/>
        </w:tblBorders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on"/>
        </w:trPr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Manuscript ref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Refers to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Real file?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Fig 1 (A–D)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Concept plate: colony photo, mesocosm, timeline, wound micrograph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 xml:space="preserve">Not a code-generated stats figure.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Made by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plate_fig.R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(none of the 21 files is named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figures/*1*plate*.png</w:t>
            </w:r>
            <w:r>
              <w:rPr>
                <w:rFonts w:ascii="Calibri" w:hAnsi="Calibri" w:cs="Calibri" w:eastAsia="Calibri"/>
              </w:rPr>
              <w:t xml:space="preserve">). Note that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16_manuscript_fig1.png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is a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i/>
                <w:iCs/>
              </w:rPr>
              <w:t xml:space="preserve">different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4-panel figure, NOT the manuscript's "Fig 1."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Fig. 2A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Apex temperature trace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maps to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08_apex_temperature.png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Fig. 2B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PAM Fv/Fm trajectory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maps to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02_pam_fvfm_trajectory.png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Fig. 2C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Color (Siebeck D-scale) trajectory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maps to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03_color_trajectory.png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Fig. 2D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Growth (% skeletal mass change)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maps to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05_buoyant_weight_growth.png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Fig. 2E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Symbiont density by biopsy day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maps to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06_symbiont_density_by_day.png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Fig. 3A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PCA biplot of end physiology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maps to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15_physio_PCA_biplot.png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Fig. 3B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Kaplan–Meier morphology (healing vs regeneration)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maps to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14_morphology_KM.png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Fig. 3C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Genet resilience across responses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maps to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19_genet_dashboard.png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/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19b_genet_resilience_ranking.png</w:t>
            </w:r>
          </w:p>
        </w:tc>
      </w:tr>
    </w:tbl>
    <w:p>
      <w:pPr>
        <w:pStyle w:val="BodyText"/>
        <w:spacing w:before="200"/>
      </w:pPr>
      <w:r>
        <w:rPr>
          <w:rFonts w:ascii="Calibri" w:hAnsi="Calibri" w:cs="Calibri" w:eastAsia="Calibri"/>
          <w:b/>
          <w:bCs/>
        </w:rPr>
        <w:t>Important: In the manuscript, Fig. 2 and Fig. 3 are composite figures. Each lettered panel comes from one of the scripts above, assembled at publication. code/16 also builds a standalone 4-panel overview named 16_manuscript_fig1, but that file is not the manuscript Fig. 1. Rename it or keep this warning in the build notes.</w:t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i/>
          <w:iCs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rStyle w:val="VerbatimChar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rStyle w:val="VerbatimChar"/>
        </w:rPr>
      </w:r>
      <w:r>
        <w:rPr>
          <w:rFonts w:ascii="Calibri" w:hAnsi="Calibri" w:cs="Calibri" w:eastAsia="Calibri"/>
        </w:rPr>
      </w:r>
    </w:p>
    <w:p>
      <w:pPr>
        <w:pStyle w:val="BodyText"/>
      </w:pPr>
      <w:r>
        <w:rPr>
          <w:rFonts w:ascii="Calibri" w:hAnsi="Calibri" w:cs="Calibri" w:eastAsia="Calibri"/>
          <w:b/>
          <w:bCs/>
        </w:rPr>
        <w:t xml:space="preserve">Missing-reference flags: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none. Every Fig 1/2/3 reference matches a generated panel.</w:t>
      </w:r>
    </w:p>
    <w:p>
      <w:pPr>
        <w:pStyle w:val="BodyText"/>
      </w:pPr>
      <w:r>
        <w:rPr>
          <w:rFonts w:ascii="Calibri" w:hAnsi="Calibri" w:cs="Calibri" w:eastAsia="Calibri"/>
          <w:b/>
          <w:bCs/>
        </w:rPr>
        <w:t>Uncited/supporting figures (never cited as a numbered manuscript Fig): 04_morphology_trajectories.png, 04b_morphology_trajectories_by_genet.png, 07_wax_standard_curve.png, 08b_apex_temperature_full.png, 09_ysi_water_chem.png, 10_worm_presence.png, 13_genet_response_panel.png, 14b_morphology_KM_by_genet.png, 15b_physio_PCA_by_genet.png, 16_manuscript_fig1.png (standalone 4-panel build, not cited by number), 19b_genet_resilience_ranking.png, 19c_decomposed_resilience.png, 26_thermal_context.png. These are supporting figures, diagnostics, by-genet variants, and extra context — not numbered main-text figures unless moved to the supplement or cited explicitly.</w:t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rStyle w:val="VerbatimChar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rStyle w:val="VerbatimChar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rStyle w:val="VerbatimChar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rStyle w:val="VerbatimChar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rStyle w:val="VerbatimChar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rStyle w:val="VerbatimChar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rStyle w:val="VerbatimChar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rStyle w:val="VerbatimChar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rStyle w:val="VerbatimChar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rStyle w:val="VerbatimChar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rStyle w:val="VerbatimChar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rStyle w:val="VerbatimChar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rStyle w:val="VerbatimChar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</w:p>
    <w:p>
      <w:r>
        <w:rPr>
          <w:rFonts w:ascii="Calibri" w:hAnsi="Calibri" w:cs="Calibri" w:eastAsia="Calibri"/>
        </w:rPr>
        <w:pict>
          <v:rect style="width:0;height:1.5pt" o:hralign="center" o:hrstd="t" o:hr="t"/>
        </w:pict>
      </w:r>
    </w:p>
    <w:bookmarkEnd w:id="11"/>
    <w:bookmarkStart w:id="12" w:name="full-catalog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 xml:space="preserve">Full catalog</w:t>
      </w:r>
    </w:p>
    <w:tbl>
      <w:tblPr>
        <w:tblStyle w:val="Table"/>
        <w:tblW w:type="pct" w:w="5000"/>
        <w:tblBorders>
          <w:top w:val="single" w:sz="2" w:color="C7D2E2" w:space="0"/>
          <w:left w:val="single" w:sz="2" w:color="C7D2E2" w:space="0"/>
          <w:bottom w:val="single" w:sz="2" w:color="C7D2E2" w:space="0"/>
          <w:right w:val="single" w:sz="2" w:color="C7D2E2" w:space="0"/>
          <w:insideH w:val="single" w:sz="2" w:color="C7D2E2" w:space="0"/>
          <w:insideV w:val="single" w:sz="2" w:color="C7D2E2" w:space="0"/>
        </w:tblBorders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File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What it shows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Generating script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Manuscript fig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02_pam_fvfm_trajectory.png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PAM Fv/Fm trajectories by treatment × wound × day, 95% CI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code/02_pam_analysis.R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Fig. 2B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03_color_trajectory.png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Color-card pigmentation (Siebeck D-scale) trajectory + paling tallies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code/03_color_card_analysis.R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Fig. 2C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04_morphology_trajectories.png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8 binary wound-healing traits, cumulative proportion by day × treatment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code/04_physio_morphology.R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—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04b_morphology_trajectories_by_genet.png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Same morphology trajectories, split by genet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code/04_physio_morphology.R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—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05_buoyant_weight_growth.png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Growth (% skeletal mass change) from buoyant weight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code/05_buoyant_weight.R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Fig. 2D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06_symbiont_density_by_day.png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Symbiont density (cells/cm²) by biopsy day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code/06_symbiont_chl.R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Fig. 2E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07_wax_standard_curve.png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Wax-dipping surface-area calibration standard curve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code/07_wax_dipping.R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—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08_apex_temperature.png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Apex per-tank temperature: heat ramp + steady-state (treatment validation)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code/08_apex_temperature.R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Fig. 2A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08b_apex_temperature_full.png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Full-datalog Apex temperature incl. ramps and cooldowns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code/08_apex_temperature.R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—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09_ysi_water_chem.png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Daily YSI spot checks: temp, DO%, DO mg/L, salinity, pH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code/09_ysi_water_chem.R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—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10_worm_presence.png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Acropora-eating flatworm presence tally per tank/treatment (contamination check)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code/10_worms.R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—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13_genet_response_panel.png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4-panel reaction norms: each genet's mean response shift under heating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code/13_genet_interaction.R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—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14_morphology_KM.png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Kaplan–Meier time-to-onset curves by treatment (healing vs regeneration traits)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code/14_morphology_kaplan.R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Fig. 3B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14b_morphology_KM_by_genet.png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Kaplan–Meier curves by treatment × genet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code/14_morphology_kaplan.R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—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15_physio_PCA_biplot.png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PCA biplot of end-of-experiment physiology (thermal-stress axis)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code/15_multivariate.R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Fig. 3A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15b_physio_PCA_by_genet.png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PCA biplot faceted by genet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code/15_multivariate.R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—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16_manuscript_fig1.png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Standalone 4-panel publication figure: temp / Fv/Fm / KM healing-vs-regen / PCA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code/16_main_figure.R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— (integrative build)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19_genet_dashboard.png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Forest plot of standardized heat sensitivity across all responses, per genet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code/19_genet_dashboard.R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Fig. 3C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19b_genet_resilience_ranking.png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Composite thermal-resilience score ranking per genet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code/19_genet_dashboard.R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Fig. 3C (companion)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19c_decomposed_resilience.png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Heat sensitivity decomposed by wound state (wounded vs unwounded)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code/19_genet_dashboard.R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—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26_thermal_context.png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LTH 28/31 °C vs Cunning et al. 2024 acute CBASS ED50s — chronic-sublethal context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code/sensitivity/26_thermal_context.R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—</w:t>
            </w:r>
          </w:p>
        </w:tc>
      </w:tr>
    </w:tbl>
    <w:bookmarkEnd w:id="12"/>
    <w:bookmarkEnd w:id="13"/>
    <w:sectPr>
      <w:footnotePr>
        <w:numRestart w:val="eachSect"/>
      </w:footnotePr>
      <w:pgSz w:w="12240" w:h="15840"/>
      <w:pgMar w:left="1080" w:right="108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 w:ascii="Calibri" w:hAnsi="Calibri" w:cs="Calibri" w:eastAsia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../README.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..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2026-07-06T01:19:48Z</dcterms:created>
  <dcterms:modified xsi:type="dcterms:W3CDTF">2026-07-06T01:19:48Z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