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45.png" ContentType="image/png"/>
  <Override PartName="/word/media/rId48.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Size-dependent demography, disturbance, and transition dynamics of</w:t>
      </w:r>
      <w:r>
        <w:t xml:space="preserve"> </w:t>
      </w:r>
      <w:r>
        <w:rPr>
          <w:i/>
          <w:iCs/>
        </w:rPr>
        <w:t xml:space="preserve">Acropora palmata</w:t>
      </w:r>
      <w:r>
        <w:t xml:space="preserve"> </w:t>
      </w:r>
      <w:r>
        <w:t xml:space="preserve">across the Caribbean</w:t>
      </w:r>
    </w:p>
    <w:p>
      <w:pPr>
        <w:pStyle w:val="FirstParagraph"/>
      </w:pPr>
      <w:r>
        <w:t xml:space="preserve">Adrian C. Stier</w:t>
      </w:r>
      <w:r>
        <w:rPr>
          <w:vertAlign w:val="superscript"/>
        </w:rPr>
        <w:t xml:space="preserve">1,2,</w:t>
      </w:r>
      <w:r>
        <w:t xml:space="preserve">*, A. Raine Detmer</w:t>
      </w:r>
      <w:r>
        <w:rPr>
          <w:vertAlign w:val="superscript"/>
        </w:rPr>
        <w:t xml:space="preserve">1</w:t>
      </w:r>
      <w:r>
        <w:t xml:space="preserve">, Jameal F. Samhouri</w:t>
      </w:r>
      <w:r>
        <w:rPr>
          <w:vertAlign w:val="superscript"/>
        </w:rPr>
        <w:t xml:space="preserve">3</w:t>
      </w:r>
      <w:r>
        <w:t xml:space="preserve">, Darcy Bradley</w:t>
      </w:r>
      <w:r>
        <w:rPr>
          <w:vertAlign w:val="superscript"/>
        </w:rPr>
        <w:t xml:space="preserve">4</w:t>
      </w:r>
      <w:r>
        <w:t xml:space="preserve">, Aldo Croquer</w:t>
      </w:r>
      <w:r>
        <w:rPr>
          <w:vertAlign w:val="superscript"/>
        </w:rPr>
        <w:t xml:space="preserve">5</w:t>
      </w:r>
      <w:r>
        <w:t xml:space="preserve">, and Rita I. Sellares-Blasco</w:t>
      </w:r>
      <w:r>
        <w:rPr>
          <w:vertAlign w:val="superscript"/>
        </w:rPr>
        <w:t xml:space="preserve">6</w:t>
      </w:r>
    </w:p>
    <w:p>
      <w:pPr>
        <w:pStyle w:val="BodyText"/>
      </w:pPr>
      <w:r>
        <w:rPr>
          <w:vertAlign w:val="superscript"/>
        </w:rPr>
        <w:t xml:space="preserve">1</w:t>
      </w:r>
      <w:r>
        <w:t xml:space="preserve"> </w:t>
      </w:r>
      <w:r>
        <w:t xml:space="preserve">Department of Ecology, Evolution, and Marine Biology, University of California, Santa Barbara, California, USA</w:t>
      </w:r>
      <w:r>
        <w:br/>
      </w:r>
      <w:r>
        <w:rPr>
          <w:vertAlign w:val="superscript"/>
        </w:rPr>
        <w:t xml:space="preserve">2</w:t>
      </w:r>
      <w:r>
        <w:t xml:space="preserve"> </w:t>
      </w:r>
      <w:r>
        <w:t xml:space="preserve">Marine Science Institute, University of California, Santa Barbara, CA 93106, USA</w:t>
      </w:r>
      <w:r>
        <w:br/>
      </w:r>
      <w:r>
        <w:rPr>
          <w:vertAlign w:val="superscript"/>
        </w:rPr>
        <w:t xml:space="preserve">3</w:t>
      </w:r>
      <w:r>
        <w:t xml:space="preserve"> </w:t>
      </w:r>
      <w:r>
        <w:t xml:space="preserve">Conservation Biology Division, Northwest Fisheries Science Center, National Marine Fisheries Service, National Oceanic and Atmospheric Administration, Seattle, Washington, USA</w:t>
      </w:r>
      <w:r>
        <w:br/>
      </w:r>
      <w:r>
        <w:rPr>
          <w:vertAlign w:val="superscript"/>
        </w:rPr>
        <w:t xml:space="preserve">4</w:t>
      </w:r>
      <w:r>
        <w:t xml:space="preserve"> </w:t>
      </w:r>
      <w:r>
        <w:t xml:space="preserve">California Oceans Program, The Nature Conservancy, Sacramento, California, USA</w:t>
      </w:r>
      <w:r>
        <w:br/>
      </w:r>
      <w:r>
        <w:rPr>
          <w:vertAlign w:val="superscript"/>
        </w:rPr>
        <w:t xml:space="preserve">5</w:t>
      </w:r>
      <w:r>
        <w:t xml:space="preserve"> </w:t>
      </w:r>
      <w:r>
        <w:t xml:space="preserve">The Nature Conservancy, Caribbean Division, Punta Cana, Dominican Republic</w:t>
      </w:r>
      <w:r>
        <w:br/>
      </w:r>
      <w:r>
        <w:rPr>
          <w:vertAlign w:val="superscript"/>
        </w:rPr>
        <w:t xml:space="preserve">6</w:t>
      </w:r>
      <w:r>
        <w:t xml:space="preserve"> </w:t>
      </w:r>
      <w:r>
        <w:t xml:space="preserve">Fundación Dominicana de Estudios Marinos (FUNDEMAR), Bayahibe, Dominican Republic</w:t>
      </w:r>
      <w:r>
        <w:br/>
      </w:r>
      <w:r>
        <w:rPr>
          <w:vertAlign w:val="superscript"/>
        </w:rPr>
        <w:t xml:space="preserve">*</w:t>
      </w:r>
      <w:r>
        <w:t xml:space="preserve"> </w:t>
      </w:r>
      <w:r>
        <w:t xml:space="preserve">Correspondence: Adrian C. Stier</w:t>
      </w:r>
    </w:p>
    <w:p>
      <w:pPr>
        <w:pStyle w:val="BodyText"/>
      </w:pPr>
      <w:r>
        <w:t xml:space="preserve">Corresponding author email: astier@ucsb.edu</w:t>
      </w:r>
      <w:r>
        <w:t xml:space="preserve"> </w:t>
      </w:r>
      <w:r>
        <w:t xml:space="preserve">ORCID iDs: Adrian C. Stier [insert ORCID]; A. Raine Detmer [insert ORCID]; Jameal F. Samhouri [insert ORCID]; Darcy Bradley [insert ORCID]; Aldo Croquer [insert ORCID]; Rita I. Sellares-Blasco [insert ORCID]</w:t>
      </w:r>
    </w:p>
    <w:bookmarkStart w:id="9" w:name="abstract"/>
    <w:p>
      <w:pPr>
        <w:pStyle w:val="Heading2"/>
      </w:pPr>
      <w:r>
        <w:t xml:space="preserve">Abstract</w:t>
      </w:r>
    </w:p>
    <w:p>
      <w:pPr>
        <w:pStyle w:val="FirstParagraph"/>
      </w:pPr>
      <w:r>
        <w:t xml:space="preserve">Restoration of the endangered elkhorn coral</w:t>
      </w:r>
      <w:r>
        <w:t xml:space="preserve"> </w:t>
      </w:r>
      <w:r>
        <w:rPr>
          <w:i/>
          <w:iCs/>
        </w:rPr>
        <w:t xml:space="preserve">Acropora palmata</w:t>
      </w:r>
      <w:r>
        <w:t xml:space="preserve"> </w:t>
      </w:r>
      <w:r>
        <w:t xml:space="preserve">depends on demographic rates that vary with colony size, location, and disturbance history, yet those rates have not been synthesized in a form that identifies which size classes and transitions limit persistence. Here, we compiled longitudinal survival, growth, and fragmentation records from 18 studies across the Caribbean, standardized colony size to live planar area, and linked size-dependent vital rates to a five-class, recruitment-free transition matrix. Pooled annual survival was 78.7% (95% CI 70.4–85.1%), but heterogeneity was extreme (I² = 97.6%) and the 95% prediction interval spanned 37.4–95.8%. Survival rose with colony size, whereas relative growth changed most sharply near 37 cm². Partial mortality was pervasive: 39.4% of surviving colonies lost live tissue during an interval, and 9–17% of colonies in each non-recruit size class moved to a smaller class. The post-settlement subsystem had a deterministic population growth rate (</w:t>
      </w:r>
      <m:oMath>
        <m:r>
          <m:t>λ</m:t>
        </m:r>
      </m:oMath>
      <w:r>
        <w:t xml:space="preserve">) of 0.961 (bootstrap interval 0.816–1.010), and stasis of the largest colonies accounted for 58.9% of matrix elasticity. Survival of broadly defined restoration fragments (74.5%) did not differ statistically from that of natural colonies (85.4%), but survival ranged from 58.7% to 81.1% among restoration subtypes. Recurrence of Florida-scale heatwave mortality every 5–50 years reduced effective</w:t>
      </w:r>
      <w:r>
        <w:t xml:space="preserve"> </w:t>
      </w:r>
      <m:oMath>
        <m:r>
          <m:t>λ</m:t>
        </m:r>
      </m:oMath>
      <w:r>
        <w:t xml:space="preserve"> </w:t>
      </w:r>
      <w:r>
        <w:t xml:space="preserve">to 0.36–0.85. Recovery of</w:t>
      </w:r>
      <w:r>
        <w:t xml:space="preserve"> </w:t>
      </w:r>
      <w:r>
        <w:rPr>
          <w:i/>
          <w:iCs/>
        </w:rPr>
        <w:t xml:space="preserve">A. palmata</w:t>
      </w:r>
      <w:r>
        <w:t xml:space="preserve"> </w:t>
      </w:r>
      <w:r>
        <w:t xml:space="preserve">therefore depends less on the number of corals deployed than on keeping colonies alive and intact through the transitions that produce persistent large adults.</w:t>
      </w:r>
    </w:p>
    <w:p>
      <w:pPr>
        <w:pStyle w:val="BodyText"/>
      </w:pPr>
      <w:r>
        <w:t xml:space="preserve">Keywords: Caribbean coral reefs; demographic synthesis; elkhorn coral; meta-analysis; population dynamics; restoration</w:t>
      </w:r>
    </w:p>
    <w:bookmarkEnd w:id="9"/>
    <w:bookmarkStart w:id="10" w:name="introduction"/>
    <w:p>
      <w:pPr>
        <w:pStyle w:val="Heading2"/>
      </w:pPr>
      <w:r>
        <w:t xml:space="preserve">Introduction</w:t>
      </w:r>
    </w:p>
    <w:p>
      <w:pPr>
        <w:pStyle w:val="FirstParagraph"/>
      </w:pPr>
      <w:r>
        <w:t xml:space="preserve">Urgently understanding the demography of endangered foundation corals is essential because their loss erodes the habitat that supports reef communities and the coastal economies built around them. Foundation species create the structure on which ecological communities depend, but their recovery requires more than replacing individuals that have been lost. For colonial organisms, the demographic consequences of loss depend on which colonies die, which survive after partial mortality, and which transitions move colonies toward or away from reproductive size. These processes are particularly consequential for Caribbean acroporids, whose regional declines have reduced both coral cover and the three-dimensional habitat that elkhorn coral once provided</w:t>
      </w:r>
      <w:r>
        <w:t xml:space="preserve"> </w:t>
      </w:r>
      <w:r>
        <w:t xml:space="preserve">(</w:t>
      </w:r>
      <w:hyperlink w:anchor="ref-aronsonprecht2001">
        <w:r>
          <w:rPr>
            <w:rStyle w:val="Hyperlink"/>
          </w:rPr>
          <w:t xml:space="preserve">Aronson and Precht 2001</w:t>
        </w:r>
      </w:hyperlink>
      <w:r>
        <w:t xml:space="preserve">;</w:t>
      </w:r>
      <w:r>
        <w:t xml:space="preserve"> </w:t>
      </w:r>
      <w:hyperlink w:anchor="ref-gardner2003">
        <w:r>
          <w:rPr>
            <w:rStyle w:val="Hyperlink"/>
          </w:rPr>
          <w:t xml:space="preserve">Gardner et al. 2003</w:t>
        </w:r>
      </w:hyperlink>
      <w:r>
        <w:t xml:space="preserve">)</w:t>
      </w:r>
      <w:r>
        <w:t xml:space="preserve">. White-band disease, storms, predation, and chronic loss of live tissue have each altered</w:t>
      </w:r>
      <w:r>
        <w:t xml:space="preserve"> </w:t>
      </w:r>
      <w:r>
        <w:rPr>
          <w:i/>
          <w:iCs/>
        </w:rPr>
        <w:t xml:space="preserve">A. palmata</w:t>
      </w:r>
      <w:r>
        <w:t xml:space="preserve"> </w:t>
      </w:r>
      <w:r>
        <w:t xml:space="preserve">populations and reef structure at local scales</w:t>
      </w:r>
      <w:r>
        <w:t xml:space="preserve"> </w:t>
      </w:r>
      <w:r>
        <w:t xml:space="preserve">(</w:t>
      </w:r>
      <w:hyperlink w:anchor="ref-gladfelter1982">
        <w:r>
          <w:rPr>
            <w:rStyle w:val="Hyperlink"/>
          </w:rPr>
          <w:t xml:space="preserve">Gladfelter 1982</w:t>
        </w:r>
      </w:hyperlink>
      <w:r>
        <w:t xml:space="preserve">;</w:t>
      </w:r>
      <w:r>
        <w:t xml:space="preserve"> </w:t>
      </w:r>
      <w:hyperlink w:anchor="ref-rogersmuller2012">
        <w:r>
          <w:rPr>
            <w:rStyle w:val="Hyperlink"/>
          </w:rPr>
          <w:t xml:space="preserve">Rogers and Muller 2012</w:t>
        </w:r>
      </w:hyperlink>
      <w:r>
        <w:t xml:space="preserve">;</w:t>
      </w:r>
      <w:r>
        <w:t xml:space="preserve"> </w:t>
      </w:r>
      <w:hyperlink w:anchor="ref-williamsmiller2012">
        <w:r>
          <w:rPr>
            <w:rStyle w:val="Hyperlink"/>
          </w:rPr>
          <w:t xml:space="preserve">Williams and Miller 2012</w:t>
        </w:r>
      </w:hyperlink>
      <w:r>
        <w:t xml:space="preserve">)</w:t>
      </w:r>
      <w:r>
        <w:t xml:space="preserve">. White-band disease outbreaks can also be spatially clustered within local populations, an important caution when interpreting site-level demographic records</w:t>
      </w:r>
      <w:r>
        <w:t xml:space="preserve"> </w:t>
      </w:r>
      <w:r>
        <w:t xml:space="preserve">(</w:t>
      </w:r>
      <w:hyperlink w:anchor="ref-lentz2011">
        <w:r>
          <w:rPr>
            <w:rStyle w:val="Hyperlink"/>
          </w:rPr>
          <w:t xml:space="preserve">Lentz et al. 2011</w:t>
        </w:r>
      </w:hyperlink>
      <w:r>
        <w:t xml:space="preserve">)</w:t>
      </w:r>
      <w:r>
        <w:t xml:space="preserve">. Restoration programs increasingly propagate and outplant</w:t>
      </w:r>
      <w:r>
        <w:t xml:space="preserve"> </w:t>
      </w:r>
      <w:r>
        <w:rPr>
          <w:i/>
          <w:iCs/>
        </w:rPr>
        <w:t xml:space="preserve">Acropora palmata</w:t>
      </w:r>
      <w:r>
        <w:t xml:space="preserve">, but the demographic information used to choose target sizes, sites, and intervention schedules remains fragmented among studies and regions</w:t>
      </w:r>
      <w:r>
        <w:t xml:space="preserve"> </w:t>
      </w:r>
      <w:r>
        <w:t xml:space="preserve">(</w:t>
      </w:r>
      <w:hyperlink w:anchor="ref-edmundsriegl2020">
        <w:r>
          <w:rPr>
            <w:rStyle w:val="Hyperlink"/>
          </w:rPr>
          <w:t xml:space="preserve">Edmunds and Riegl 2020</w:t>
        </w:r>
      </w:hyperlink>
      <w:r>
        <w:t xml:space="preserve">)</w:t>
      </w:r>
      <w:r>
        <w:t xml:space="preserve">. The most widely used size-structured model for the species was parameterized from tagged colonies in the northern Florida Keys</w:t>
      </w:r>
      <w:r>
        <w:t xml:space="preserve"> </w:t>
      </w:r>
      <w:r>
        <w:t xml:space="preserve">(</w:t>
      </w:r>
      <w:hyperlink w:anchor="ref-vardi2012">
        <w:r>
          <w:rPr>
            <w:rStyle w:val="Hyperlink"/>
          </w:rPr>
          <w:t xml:space="preserve">Vardi et al. 2012</w:t>
        </w:r>
      </w:hyperlink>
      <w:r>
        <w:t xml:space="preserve">)</w:t>
      </w:r>
      <w:r>
        <w:t xml:space="preserve">, a single region whose rates may not transfer to the rest of the Caribbean.</w:t>
      </w:r>
    </w:p>
    <w:p>
      <w:pPr>
        <w:pStyle w:val="BodyText"/>
      </w:pPr>
      <w:r>
        <w:t xml:space="preserve">Colony size is a central axis of coral demography</w:t>
      </w:r>
      <w:r>
        <w:t xml:space="preserve"> </w:t>
      </w:r>
      <w:r>
        <w:t xml:space="preserve">(</w:t>
      </w:r>
      <w:hyperlink w:anchor="ref-hughes1984">
        <w:r>
          <w:rPr>
            <w:rStyle w:val="Hyperlink"/>
          </w:rPr>
          <w:t xml:space="preserve">Hughes 1984</w:t>
        </w:r>
      </w:hyperlink>
      <w:r>
        <w:t xml:space="preserve">;</w:t>
      </w:r>
      <w:r>
        <w:t xml:space="preserve"> </w:t>
      </w:r>
      <w:hyperlink w:anchor="ref-hughesjackson1985">
        <w:r>
          <w:rPr>
            <w:rStyle w:val="Hyperlink"/>
          </w:rPr>
          <w:t xml:space="preserve">Hughes and Jackson 1985</w:t>
        </w:r>
      </w:hyperlink>
      <w:r>
        <w:t xml:space="preserve">)</w:t>
      </w:r>
      <w:r>
        <w:t xml:space="preserve">. Small colonies may grow rapidly in proportional terms but are exposed to high mortality, whereas large colonies can persist, reproduce, and fragment</w:t>
      </w:r>
      <w:r>
        <w:t xml:space="preserve"> </w:t>
      </w:r>
      <w:r>
        <w:t xml:space="preserve">(</w:t>
      </w:r>
      <w:hyperlink w:anchor="ref-highsmith1982">
        <w:r>
          <w:rPr>
            <w:rStyle w:val="Hyperlink"/>
          </w:rPr>
          <w:t xml:space="preserve">Highsmith 1982</w:t>
        </w:r>
      </w:hyperlink>
      <w:r>
        <w:t xml:space="preserve">;</w:t>
      </w:r>
      <w:r>
        <w:t xml:space="preserve"> </w:t>
      </w:r>
      <w:hyperlink w:anchor="ref-lirman2000">
        <w:r>
          <w:rPr>
            <w:rStyle w:val="Hyperlink"/>
          </w:rPr>
          <w:t xml:space="preserve">Lirman 2000</w:t>
        </w:r>
      </w:hyperlink>
      <w:r>
        <w:t xml:space="preserve">;</w:t>
      </w:r>
      <w:r>
        <w:t xml:space="preserve"> </w:t>
      </w:r>
      <w:hyperlink w:anchor="ref-madin2014">
        <w:r>
          <w:rPr>
            <w:rStyle w:val="Hyperlink"/>
          </w:rPr>
          <w:t xml:space="preserve">Madin et al. 2014</w:t>
        </w:r>
      </w:hyperlink>
      <w:r>
        <w:t xml:space="preserve">)</w:t>
      </w:r>
      <w:r>
        <w:t xml:space="preserve">. However, colonies do not move through size structure only by growing or dying. Storm damage, disease, predation, and tissue loss can reduce the live area of colonies that remain alive, producing shrinkage and retrogression rather than immediate whole-colony mortality</w:t>
      </w:r>
      <w:r>
        <w:t xml:space="preserve"> </w:t>
      </w:r>
      <w:r>
        <w:t xml:space="preserve">(</w:t>
      </w:r>
      <w:hyperlink w:anchor="ref-lirman1997">
        <w:r>
          <w:rPr>
            <w:rStyle w:val="Hyperlink"/>
          </w:rPr>
          <w:t xml:space="preserve">Lirman and Fong 1997</w:t>
        </w:r>
      </w:hyperlink>
      <w:r>
        <w:t xml:space="preserve">;</w:t>
      </w:r>
      <w:r>
        <w:t xml:space="preserve"> </w:t>
      </w:r>
      <w:hyperlink w:anchor="ref-madin2020">
        <w:r>
          <w:rPr>
            <w:rStyle w:val="Hyperlink"/>
          </w:rPr>
          <w:t xml:space="preserve">Madin et al. 2020</w:t>
        </w:r>
      </w:hyperlink>
      <w:r>
        <w:t xml:space="preserve">)</w:t>
      </w:r>
      <w:r>
        <w:t xml:space="preserve">. Partial mortality can also carry a reproductive cost:</w:t>
      </w:r>
      <w:r>
        <w:t xml:space="preserve"> </w:t>
      </w:r>
      <w:r>
        <w:rPr>
          <w:i/>
          <w:iCs/>
        </w:rPr>
        <w:t xml:space="preserve">A. palmata</w:t>
      </w:r>
      <w:r>
        <w:t xml:space="preserve"> </w:t>
      </w:r>
      <w:r>
        <w:t xml:space="preserve">colonies with unhealed lesions produced smaller eggs than apparently healthy colonies, and the lesions did not regenerate over a four-month season</w:t>
      </w:r>
      <w:r>
        <w:t xml:space="preserve"> </w:t>
      </w:r>
      <w:r>
        <w:t xml:space="preserve">(</w:t>
      </w:r>
      <w:hyperlink w:anchor="ref-pinongonzalez2018">
        <w:r>
          <w:rPr>
            <w:rStyle w:val="Hyperlink"/>
          </w:rPr>
          <w:t xml:space="preserve">Piñón-González and Banaszak 2018</w:t>
        </w:r>
      </w:hyperlink>
      <w:r>
        <w:t xml:space="preserve">)</w:t>
      </w:r>
      <w:r>
        <w:t xml:space="preserve">. A demographic analysis that treats all surviving colonies as stable therefore risks obscuring the processes that determine whether individuals eventually contribute to adult population structure.</w:t>
      </w:r>
    </w:p>
    <w:p>
      <w:pPr>
        <w:pStyle w:val="BodyText"/>
      </w:pPr>
      <w:r>
        <w:t xml:space="preserve">The Caribbean setting adds a second complication: demographic records were collected across populations that experienced different histories of storms, disease, bleaching, and chronic environmental stress. These events are often treated as inconvenient variation to remove before estimating a baseline vital rate. Yet disturbance is part of the regime in which</w:t>
      </w:r>
      <w:r>
        <w:t xml:space="preserve"> </w:t>
      </w:r>
      <w:r>
        <w:rPr>
          <w:i/>
          <w:iCs/>
        </w:rPr>
        <w:t xml:space="preserve">A. palmata</w:t>
      </w:r>
      <w:r>
        <w:t xml:space="preserve"> </w:t>
      </w:r>
      <w:r>
        <w:t xml:space="preserve">populations persist or decline: a stage-structured simulation showed that storm frequency and intensity can alter population trajectories</w:t>
      </w:r>
      <w:r>
        <w:t xml:space="preserve"> </w:t>
      </w:r>
      <w:r>
        <w:t xml:space="preserve">(</w:t>
      </w:r>
      <w:hyperlink w:anchor="ref-lirman2003">
        <w:r>
          <w:rPr>
            <w:rStyle w:val="Hyperlink"/>
          </w:rPr>
          <w:t xml:space="preserve">Lirman 2003</w:t>
        </w:r>
      </w:hyperlink>
      <w:r>
        <w:t xml:space="preserve">)</w:t>
      </w:r>
      <w:r>
        <w:t xml:space="preserve">, while long-term field monitoring and larval experiments show that different life stages encounter distinct environmental bottlenecks</w:t>
      </w:r>
      <w:r>
        <w:t xml:space="preserve"> </w:t>
      </w:r>
      <w:r>
        <w:t xml:space="preserve">(</w:t>
      </w:r>
      <w:hyperlink w:anchor="ref-randall2009">
        <w:r>
          <w:rPr>
            <w:rStyle w:val="Hyperlink"/>
          </w:rPr>
          <w:t xml:space="preserve">Randall and Szmant 2009</w:t>
        </w:r>
      </w:hyperlink>
      <w:r>
        <w:t xml:space="preserve">;</w:t>
      </w:r>
      <w:r>
        <w:t xml:space="preserve"> </w:t>
      </w:r>
      <w:hyperlink w:anchor="ref-rogersmuller2012">
        <w:r>
          <w:rPr>
            <w:rStyle w:val="Hyperlink"/>
          </w:rPr>
          <w:t xml:space="preserve">Rogers and Muller 2012</w:t>
        </w:r>
      </w:hyperlink>
      <w:r>
        <w:t xml:space="preserve">)</w:t>
      </w:r>
      <w:r>
        <w:t xml:space="preserve">. The 2023 marine heatwave, which caused functional extinction of</w:t>
      </w:r>
      <w:r>
        <w:t xml:space="preserve"> </w:t>
      </w:r>
      <w:r>
        <w:rPr>
          <w:i/>
          <w:iCs/>
        </w:rPr>
        <w:t xml:space="preserve">A. palmata</w:t>
      </w:r>
      <w:r>
        <w:t xml:space="preserve"> </w:t>
      </w:r>
      <w:r>
        <w:t xml:space="preserve">in Florida, makes this point especially clear: older demographic records describe an earlier chronic regime, not an enduring environmental baseline</w:t>
      </w:r>
      <w:r>
        <w:t xml:space="preserve"> </w:t>
      </w:r>
      <w:r>
        <w:t xml:space="preserve">(</w:t>
      </w:r>
      <w:hyperlink w:anchor="ref-manzello2025">
        <w:r>
          <w:rPr>
            <w:rStyle w:val="Hyperlink"/>
          </w:rPr>
          <w:t xml:space="preserve">Manzello et al. 2025</w:t>
        </w:r>
      </w:hyperlink>
      <w:r>
        <w:t xml:space="preserve">)</w:t>
      </w:r>
      <w:r>
        <w:t xml:space="preserve">. A useful synthesis must therefore separate the question of a counterfactual low-disturbance estimate from the question of how colonies actually performed within their observed disturbance histories.</w:t>
      </w:r>
    </w:p>
    <w:p>
      <w:pPr>
        <w:pStyle w:val="BodyText"/>
      </w:pPr>
      <w:r>
        <w:t xml:space="preserve">Restoration introduces a third source of heterogeneity. Nursery outplants, colonies re-cemented after fragmentation, direct outplants, and naturally fragmented colonies differ in size, handling, environment, and likely mortality processes</w:t>
      </w:r>
      <w:r>
        <w:t xml:space="preserve"> </w:t>
      </w:r>
      <w:r>
        <w:t xml:space="preserve">(</w:t>
      </w:r>
      <w:hyperlink w:anchor="ref-forrester2012">
        <w:r>
          <w:rPr>
            <w:rStyle w:val="Hyperlink"/>
          </w:rPr>
          <w:t xml:space="preserve">Forrester et al. 2012</w:t>
        </w:r>
      </w:hyperlink>
      <w:r>
        <w:t xml:space="preserve">;</w:t>
      </w:r>
      <w:r>
        <w:t xml:space="preserve"> </w:t>
      </w:r>
      <w:hyperlink w:anchor="ref-banister2024">
        <w:r>
          <w:rPr>
            <w:rStyle w:val="Hyperlink"/>
          </w:rPr>
          <w:t xml:space="preserve">Banister et al.</w:t>
        </w:r>
        <w:r>
          <w:rPr>
            <w:rStyle w:val="Hyperlink"/>
          </w:rPr>
          <w:t xml:space="preserve"> </w:t>
        </w:r>
        <w:r>
          <w:rPr>
            <w:rStyle w:val="Hyperlink"/>
          </w:rPr>
          <w:t xml:space="preserve">2024</w:t>
        </w:r>
      </w:hyperlink>
      <w:r>
        <w:t xml:space="preserve">;</w:t>
      </w:r>
      <w:r>
        <w:t xml:space="preserve"> </w:t>
      </w:r>
      <w:hyperlink w:anchor="ref-ramosromero2025">
        <w:r>
          <w:rPr>
            <w:rStyle w:val="Hyperlink"/>
          </w:rPr>
          <w:t xml:space="preserve">Ramos Romero et al. 2025</w:t>
        </w:r>
      </w:hyperlink>
      <w:r>
        <w:t xml:space="preserve">)</w:t>
      </w:r>
      <w:r>
        <w:t xml:space="preserve">. Treating these materials as one</w:t>
      </w:r>
      <w:r>
        <w:t xml:space="preserve"> </w:t>
      </w:r>
      <w:r>
        <w:t xml:space="preserve">“restoration fragment”</w:t>
      </w:r>
      <w:r>
        <w:t xml:space="preserve"> </w:t>
      </w:r>
      <w:r>
        <w:t xml:space="preserve">category can yield a pooled comparison that is statistically convenient but biologically ambiguous. This distinction matters because early survival bottlenecks and later outplant performance need not be governed by the same processes</w:t>
      </w:r>
      <w:r>
        <w:t xml:space="preserve"> </w:t>
      </w:r>
      <w:r>
        <w:t xml:space="preserve">(</w:t>
      </w:r>
      <w:hyperlink w:anchor="ref-williams2008">
        <w:r>
          <w:rPr>
            <w:rStyle w:val="Hyperlink"/>
          </w:rPr>
          <w:t xml:space="preserve">Williams et al. 2008</w:t>
        </w:r>
      </w:hyperlink>
      <w:r>
        <w:t xml:space="preserve">;</w:t>
      </w:r>
      <w:r>
        <w:t xml:space="preserve"> </w:t>
      </w:r>
      <w:hyperlink w:anchor="ref-williams2023">
        <w:r>
          <w:rPr>
            <w:rStyle w:val="Hyperlink"/>
          </w:rPr>
          <w:t xml:space="preserve">Williams et al. 2023</w:t>
        </w:r>
      </w:hyperlink>
      <w:r>
        <w:t xml:space="preserve">)</w:t>
      </w:r>
      <w:r>
        <w:t xml:space="preserve">. However, the available evidence has not been synthesized in a way that retains colony size, partial mortality, observed disturbance history, and restoration material subtype while linking those data to post-settlement population dynamics.</w:t>
      </w:r>
    </w:p>
    <w:p>
      <w:pPr>
        <w:pStyle w:val="BodyText"/>
      </w:pPr>
      <w:r>
        <w:t xml:space="preserve">Here, we synthesized longitudinal demographic evidence for</w:t>
      </w:r>
      <w:r>
        <w:t xml:space="preserve"> </w:t>
      </w:r>
      <w:r>
        <w:rPr>
          <w:i/>
          <w:iCs/>
        </w:rPr>
        <w:t xml:space="preserve">A. palmata</w:t>
      </w:r>
      <w:r>
        <w:t xml:space="preserve"> </w:t>
      </w:r>
      <w:r>
        <w:t xml:space="preserve">across the Caribbean. We first combined individual-level observations from seven studies with summary-level effects from eleven additional studies and standardized colony size to live planar area. We then quantified size-dependent survival, growth, shrinkage, retrogression, and variation associated with observed exposure categories and restoration subtypes. Finally, we linked the resulting vital rates to a five-class, recruitment-free transition model that updates the structure of Vardi et al.</w:t>
      </w:r>
      <w:r>
        <w:t xml:space="preserve"> </w:t>
      </w:r>
      <w:r>
        <w:t xml:space="preserve">(</w:t>
      </w:r>
      <w:hyperlink w:anchor="ref-vardi2012">
        <w:r>
          <w:rPr>
            <w:rStyle w:val="Hyperlink"/>
          </w:rPr>
          <w:t xml:space="preserve">2012</w:t>
        </w:r>
      </w:hyperlink>
      <w:r>
        <w:t xml:space="preserve">)</w:t>
      </w:r>
      <w:r>
        <w:t xml:space="preserve">. We expected size to structure both survival and growth, size–survival associations to differ among observed exposure categories, and large-adult persistence to exert disproportionate influence on conditional transition dynamics. Our goal was not to produce a universal Caribbean rate for a heterogeneous species, but to identify the recurring patterns and uncertainties that should bound restoration decisions.</w:t>
      </w:r>
    </w:p>
    <w:bookmarkEnd w:id="10"/>
    <w:bookmarkStart w:id="16" w:name="materials-and-methods"/>
    <w:p>
      <w:pPr>
        <w:pStyle w:val="Heading2"/>
      </w:pPr>
      <w:r>
        <w:t xml:space="preserve">Materials and methods</w:t>
      </w:r>
    </w:p>
    <w:bookmarkStart w:id="11" w:name="literature-search-and-study-selection"/>
    <w:p>
      <w:pPr>
        <w:pStyle w:val="Heading3"/>
      </w:pPr>
      <w:r>
        <w:t xml:space="preserve">Literature search and study selection</w:t>
      </w:r>
    </w:p>
    <w:p>
      <w:pPr>
        <w:pStyle w:val="FirstParagraph"/>
      </w:pPr>
      <w:r>
        <w:t xml:space="preserve">To synthesize published</w:t>
      </w:r>
      <w:r>
        <w:t xml:space="preserve"> </w:t>
      </w:r>
      <w:r>
        <w:rPr>
          <w:i/>
          <w:iCs/>
        </w:rPr>
        <w:t xml:space="preserve">A. palmata</w:t>
      </w:r>
      <w:r>
        <w:t xml:space="preserve"> </w:t>
      </w:r>
      <w:r>
        <w:t xml:space="preserve">demographic data, we conducted a systematic literature search and data compilation. From June through December 2025, we searched four sources: repositories maintained by NOAA and the US Geological Survey, structured Google Scholar searches, backward and forward citation searching from focal demographic studies, and data shared by restoration practitioners. In March 2026, we expanded that search through PubMed, Web of Science, Semantic Scholar/Elicit, targeted citation searches, and the project literature library. Search terms combined</w:t>
      </w:r>
      <w:r>
        <w:t xml:space="preserve"> </w:t>
      </w:r>
      <w:r>
        <w:rPr>
          <w:i/>
          <w:iCs/>
        </w:rPr>
        <w:t xml:space="preserve">Acropora palmata</w:t>
      </w:r>
      <w:r>
        <w:t xml:space="preserve"> </w:t>
      </w:r>
      <w:r>
        <w:t xml:space="preserve">or elkhorn coral with survival, mortality, growth, recruitment, restoration, and long-term monitoring terms. The project documentation retains the complete search strings, screening logic, and study-level exclusions.</w:t>
      </w:r>
    </w:p>
    <w:p>
      <w:pPr>
        <w:pStyle w:val="BodyText"/>
      </w:pPr>
      <w:r>
        <w:t xml:space="preserve">We included studies that reported longitudinal observations of identified</w:t>
      </w:r>
      <w:r>
        <w:t xml:space="preserve"> </w:t>
      </w:r>
      <w:r>
        <w:rPr>
          <w:i/>
          <w:iCs/>
        </w:rPr>
        <w:t xml:space="preserve">A. palmata</w:t>
      </w:r>
      <w:r>
        <w:t xml:space="preserve"> </w:t>
      </w:r>
      <w:r>
        <w:t xml:space="preserve">colonies or fragments, survival or areal growth over a defined interval, and sufficient information to annualize survival or estimate a size-dependent vital rate. We excluded cross-sectional condition surveys, studies that reported only branch extension, laboratory micro-fragment experiments smaller than 1 cm², and overlapping analyses of the same tagged-colony datasets. Titles and abstracts were screened first, followed by full-text evaluation. A second reviewer independently evaluated a subset of expanded-search candidates; disagreements were adjudicated by a third review. Across all sources, we identified approximately 2,500 records, assessed 101 full texts or data repositories, and excluded 82 with documented reasons; the most common reasons were a different species, overlap with an included dataset, and cross-sectional designs.</w:t>
      </w:r>
    </w:p>
    <w:p>
      <w:pPr>
        <w:pStyle w:val="BodyText"/>
      </w:pPr>
      <w:r>
        <w:t xml:space="preserve">The final dataset comprised 18 studies. Seven supplied individual colony records: NOAA long-term monitoring of tagged colonies in the Florida Keys, Curaçao, and Navassa; Neely et al.</w:t>
      </w:r>
      <w:r>
        <w:t xml:space="preserve"> </w:t>
      </w:r>
      <w:r>
        <w:t xml:space="preserve">(</w:t>
      </w:r>
      <w:hyperlink w:anchor="ref-neely2022">
        <w:r>
          <w:rPr>
            <w:rStyle w:val="Hyperlink"/>
          </w:rPr>
          <w:t xml:space="preserve">2022</w:t>
        </w:r>
      </w:hyperlink>
      <w:r>
        <w:t xml:space="preserve">)</w:t>
      </w:r>
      <w:r>
        <w:t xml:space="preserve">; Pausch et al.</w:t>
      </w:r>
      <w:r>
        <w:t xml:space="preserve"> </w:t>
      </w:r>
      <w:r>
        <w:t xml:space="preserve">(</w:t>
      </w:r>
      <w:hyperlink w:anchor="ref-pausch2018">
        <w:r>
          <w:rPr>
            <w:rStyle w:val="Hyperlink"/>
          </w:rPr>
          <w:t xml:space="preserve">2018</w:t>
        </w:r>
      </w:hyperlink>
      <w:r>
        <w:t xml:space="preserve">)</w:t>
      </w:r>
      <w:r>
        <w:t xml:space="preserve">; Kuffner et al.</w:t>
      </w:r>
      <w:r>
        <w:t xml:space="preserve"> </w:t>
      </w:r>
      <w:r>
        <w:t xml:space="preserve">(</w:t>
      </w:r>
      <w:hyperlink w:anchor="ref-kuffner2020">
        <w:r>
          <w:rPr>
            <w:rStyle w:val="Hyperlink"/>
          </w:rPr>
          <w:t xml:space="preserve">2020</w:t>
        </w:r>
      </w:hyperlink>
      <w:r>
        <w:t xml:space="preserve">)</w:t>
      </w:r>
      <w:r>
        <w:t xml:space="preserve">; a USGS outplant experiment in the US Virgin Islands; FUNDEMAR nursery fragments in the Dominican Republic; and Mendoza Quiroz et al.</w:t>
      </w:r>
      <w:r>
        <w:t xml:space="preserve"> </w:t>
      </w:r>
      <w:r>
        <w:t xml:space="preserve">(</w:t>
      </w:r>
      <w:hyperlink w:anchor="ref-mendozaquiroz2023">
        <w:r>
          <w:rPr>
            <w:rStyle w:val="Hyperlink"/>
          </w:rPr>
          <w:t xml:space="preserve">2023</w:t>
        </w:r>
      </w:hyperlink>
      <w:r>
        <w:t xml:space="preserve">)</w:t>
      </w:r>
      <w:r>
        <w:t xml:space="preserve">. Eleven supplied study-level summaries</w:t>
      </w:r>
      <w:r>
        <w:t xml:space="preserve"> </w:t>
      </w:r>
      <w:r>
        <w:t xml:space="preserve">(</w:t>
      </w:r>
      <w:hyperlink w:anchor="ref-rogers1982">
        <w:r>
          <w:rPr>
            <w:rStyle w:val="Hyperlink"/>
          </w:rPr>
          <w:t xml:space="preserve">Rogers et al. 1982</w:t>
        </w:r>
      </w:hyperlink>
      <w:r>
        <w:t xml:space="preserve">;</w:t>
      </w:r>
      <w:r>
        <w:t xml:space="preserve"> </w:t>
      </w:r>
      <w:hyperlink w:anchor="ref-bruckner2001">
        <w:r>
          <w:rPr>
            <w:rStyle w:val="Hyperlink"/>
          </w:rPr>
          <w:t xml:space="preserve">Bruckner and Bruckner 2001</w:t>
        </w:r>
      </w:hyperlink>
      <w:r>
        <w:t xml:space="preserve">;</w:t>
      </w:r>
      <w:r>
        <w:t xml:space="preserve"> </w:t>
      </w:r>
      <w:hyperlink w:anchor="ref-ortizprosper2005">
        <w:r>
          <w:rPr>
            <w:rStyle w:val="Hyperlink"/>
          </w:rPr>
          <w:t xml:space="preserve">Ortiz Prosper 2005</w:t>
        </w:r>
      </w:hyperlink>
      <w:r>
        <w:t xml:space="preserve">;</w:t>
      </w:r>
      <w:r>
        <w:t xml:space="preserve"> </w:t>
      </w:r>
      <w:hyperlink w:anchor="ref-garrison2008">
        <w:r>
          <w:rPr>
            <w:rStyle w:val="Hyperlink"/>
          </w:rPr>
          <w:t xml:space="preserve">Garrison and Ward 2008</w:t>
        </w:r>
      </w:hyperlink>
      <w:r>
        <w:t xml:space="preserve">;</w:t>
      </w:r>
      <w:r>
        <w:t xml:space="preserve"> </w:t>
      </w:r>
      <w:hyperlink w:anchor="ref-williamsmiller2010">
        <w:r>
          <w:rPr>
            <w:rStyle w:val="Hyperlink"/>
          </w:rPr>
          <w:t xml:space="preserve">Williams and Miller 2010</w:t>
        </w:r>
      </w:hyperlink>
      <w:r>
        <w:t xml:space="preserve">;</w:t>
      </w:r>
      <w:r>
        <w:t xml:space="preserve"> </w:t>
      </w:r>
      <w:hyperlink w:anchor="ref-vardi2011">
        <w:r>
          <w:rPr>
            <w:rStyle w:val="Hyperlink"/>
          </w:rPr>
          <w:t xml:space="preserve">Vardi 2011</w:t>
        </w:r>
      </w:hyperlink>
      <w:r>
        <w:t xml:space="preserve">;</w:t>
      </w:r>
      <w:r>
        <w:t xml:space="preserve"> </w:t>
      </w:r>
      <w:hyperlink w:anchor="ref-rogersmuller2012">
        <w:r>
          <w:rPr>
            <w:rStyle w:val="Hyperlink"/>
          </w:rPr>
          <w:t xml:space="preserve">Rogers and Muller 2012</w:t>
        </w:r>
      </w:hyperlink>
      <w:r>
        <w:t xml:space="preserve">;</w:t>
      </w:r>
      <w:r>
        <w:t xml:space="preserve"> </w:t>
      </w:r>
      <w:hyperlink w:anchor="ref-forrester2013">
        <w:r>
          <w:rPr>
            <w:rStyle w:val="Hyperlink"/>
          </w:rPr>
          <w:t xml:space="preserve">Forrester et al. 2014</w:t>
        </w:r>
      </w:hyperlink>
      <w:r>
        <w:t xml:space="preserve">;</w:t>
      </w:r>
      <w:r>
        <w:t xml:space="preserve"> </w:t>
      </w:r>
      <w:hyperlink w:anchor="ref-maurer2022">
        <w:r>
          <w:rPr>
            <w:rStyle w:val="Hyperlink"/>
          </w:rPr>
          <w:t xml:space="preserve">Maurer et al. 2022</w:t>
        </w:r>
      </w:hyperlink>
      <w:r>
        <w:t xml:space="preserve">;</w:t>
      </w:r>
      <w:r>
        <w:t xml:space="preserve"> </w:t>
      </w:r>
      <w:hyperlink w:anchor="ref-rosales2024">
        <w:r>
          <w:rPr>
            <w:rStyle w:val="Hyperlink"/>
          </w:rPr>
          <w:t xml:space="preserve">Rosales et al. 2024</w:t>
        </w:r>
      </w:hyperlink>
      <w:r>
        <w:t xml:space="preserve">;</w:t>
      </w:r>
      <w:r>
        <w:t xml:space="preserve"> </w:t>
      </w:r>
      <w:hyperlink w:anchor="ref-ramosromero2025">
        <w:r>
          <w:rPr>
            <w:rStyle w:val="Hyperlink"/>
          </w:rPr>
          <w:t xml:space="preserve">Ramos Romero et al. 2025</w:t>
        </w:r>
      </w:hyperlink>
      <w:r>
        <w:t xml:space="preserve">)</w:t>
      </w:r>
      <w:r>
        <w:t xml:space="preserve">. Seventeen of these studies, contributing 22 study-region effects, entered the survival synthesis. Mendoza Quiroz et al.</w:t>
      </w:r>
      <w:r>
        <w:t xml:space="preserve"> </w:t>
      </w:r>
      <w:r>
        <w:t xml:space="preserve">(</w:t>
      </w:r>
      <w:hyperlink w:anchor="ref-mendozaquiroz2023">
        <w:r>
          <w:rPr>
            <w:rStyle w:val="Hyperlink"/>
          </w:rPr>
          <w:t xml:space="preserve">2023</w:t>
        </w:r>
      </w:hyperlink>
      <w:r>
        <w:t xml:space="preserve">)</w:t>
      </w:r>
      <w:r>
        <w:t xml:space="preserve"> </w:t>
      </w:r>
      <w:r>
        <w:t xml:space="preserve">contributed only to the size-dependent and transition analyses (Online Resource 1, Table S1).</w:t>
      </w:r>
    </w:p>
    <w:bookmarkEnd w:id="11"/>
    <w:bookmarkStart w:id="12" w:name="data-extraction-and-standardization"/>
    <w:p>
      <w:pPr>
        <w:pStyle w:val="Heading3"/>
      </w:pPr>
      <w:r>
        <w:t xml:space="preserve">Data extraction and standardization</w:t>
      </w:r>
    </w:p>
    <w:p>
      <w:pPr>
        <w:pStyle w:val="FirstParagraph"/>
      </w:pPr>
      <w:r>
        <w:t xml:space="preserve">We organized retained records into two tiers. Tier 1 studies supplied individual colony identifiers, repeated sizes, and survival fates; these records supported analyses of survival, growth, shrinkage, and size-class transitions. Tier 2 studies supplied study-level survival proportions, sample sizes, and where available mean colony size. The survival and growth files contained 7,842 and 6,318 raw interval records, respectively. The current meta-analysis uses an effective denominator of 8,607 after interval filtering and study-level aggregation; it is not an individual-observation count. The study landscape and size coverage are shown in Fig. 1.</w:t>
      </w:r>
    </w:p>
    <w:p>
      <w:pPr>
        <w:pStyle w:val="BodyText"/>
      </w:pPr>
      <w:r>
        <w:t xml:space="preserve">We standardized colony size as live planar tissue area in cm². For records containing perpendicular dimensions and live-tissue proportion, we calculated area as length × width × proportion live tissue, following the convention used in previous</w:t>
      </w:r>
      <w:r>
        <w:t xml:space="preserve"> </w:t>
      </w:r>
      <w:r>
        <w:rPr>
          <w:i/>
          <w:iCs/>
        </w:rPr>
        <w:t xml:space="preserve">A. palmata</w:t>
      </w:r>
      <w:r>
        <w:t xml:space="preserve"> </w:t>
      </w:r>
      <w:r>
        <w:t xml:space="preserve">matrix models</w:t>
      </w:r>
      <w:r>
        <w:t xml:space="preserve"> </w:t>
      </w:r>
      <w:r>
        <w:t xml:space="preserve">(</w:t>
      </w:r>
      <w:hyperlink w:anchor="ref-vardi2012">
        <w:r>
          <w:rPr>
            <w:rStyle w:val="Hyperlink"/>
          </w:rPr>
          <w:t xml:space="preserve">Vardi et al. 2012</w:t>
        </w:r>
      </w:hyperlink>
      <w:r>
        <w:t xml:space="preserve">)</w:t>
      </w:r>
      <w:r>
        <w:t xml:space="preserve">. For diameter-only records, we estimated area from a circular footprint. Where a study reported a single linear measure, we applied study-informed width-to-length ratios; records for which size could not be defensibly converted were retained for survival synthesis but not size-dependent analyses. We annualized non-annual survival as</w:t>
      </w:r>
      <w:r>
        <w:t xml:space="preserve"> </w:t>
      </w:r>
      <m:oMath>
        <m:sSub>
          <m:e>
            <m:r>
              <m:t>S</m:t>
            </m:r>
          </m:e>
          <m:sub>
            <m:r>
              <m:rPr>
                <m:sty m:val="p"/>
              </m:rPr>
              <m:t>a</m:t>
            </m:r>
            <m:r>
              <m:rPr>
                <m:sty m:val="p"/>
              </m:rPr>
              <m:t>n</m:t>
            </m:r>
            <m:r>
              <m:rPr>
                <m:sty m:val="p"/>
              </m:rPr>
              <m:t>n</m:t>
            </m:r>
            <m:r>
              <m:rPr>
                <m:sty m:val="p"/>
              </m:rPr>
              <m:t>u</m:t>
            </m:r>
            <m:r>
              <m:rPr>
                <m:sty m:val="p"/>
              </m:rPr>
              <m:t>a</m:t>
            </m:r>
            <m:r>
              <m:rPr>
                <m:sty m:val="p"/>
              </m:rPr>
              <m:t>l</m:t>
            </m:r>
          </m:sub>
        </m:sSub>
        <m:r>
          <m:rPr>
            <m:sty m:val="p"/>
          </m:rPr>
          <m:t>=</m:t>
        </m:r>
        <m:sSubSup>
          <m:e>
            <m:r>
              <m:t>S</m:t>
            </m:r>
          </m:e>
          <m:sub>
            <m:r>
              <m:rPr>
                <m:sty m:val="p"/>
              </m:rPr>
              <m:t>o</m:t>
            </m:r>
            <m:r>
              <m:rPr>
                <m:sty m:val="p"/>
              </m:rPr>
              <m:t>b</m:t>
            </m:r>
            <m:r>
              <m:rPr>
                <m:sty m:val="p"/>
              </m:rPr>
              <m:t>s</m:t>
            </m:r>
            <m:r>
              <m:rPr>
                <m:sty m:val="p"/>
              </m:rPr>
              <m:t>e</m:t>
            </m:r>
            <m:r>
              <m:rPr>
                <m:sty m:val="p"/>
              </m:rPr>
              <m:t>r</m:t>
            </m:r>
            <m:r>
              <m:rPr>
                <m:sty m:val="p"/>
              </m:rPr>
              <m:t>v</m:t>
            </m:r>
            <m:r>
              <m:rPr>
                <m:sty m:val="p"/>
              </m:rPr>
              <m:t>e</m:t>
            </m:r>
            <m:r>
              <m:rPr>
                <m:sty m:val="p"/>
              </m:rPr>
              <m:t>d</m:t>
            </m:r>
          </m:sub>
          <m:sup>
            <m:r>
              <m:t>1</m:t>
            </m:r>
            <m:r>
              <m:rPr>
                <m:sty m:val="p"/>
              </m:rPr>
              <m:t>/</m:t>
            </m:r>
            <m:r>
              <m:t>t</m:t>
            </m:r>
          </m:sup>
        </m:sSubSup>
      </m:oMath>
      <w:r>
        <w:t xml:space="preserve">, where</w:t>
      </w:r>
      <w:r>
        <w:t xml:space="preserve"> </w:t>
      </w:r>
      <m:oMath>
        <m:r>
          <m:t>t</m:t>
        </m:r>
      </m:oMath>
      <w:r>
        <w:t xml:space="preserve"> </w:t>
      </w:r>
      <w:r>
        <w:t xml:space="preserve">is the monitoring interval in years. This transformation assumes a constant hazard within each interval and therefore does not represent seasonal mortality peaks. Mortality definitions also differed among studies, from loss of both tissue and skeleton in NOAA monitoring to loss of at least half of live tissue in Kuffner et al.</w:t>
      </w:r>
      <w:r>
        <w:t xml:space="preserve"> </w:t>
      </w:r>
      <w:r>
        <w:t xml:space="preserve">(</w:t>
      </w:r>
      <w:hyperlink w:anchor="ref-kuffner2020">
        <w:r>
          <w:rPr>
            <w:rStyle w:val="Hyperlink"/>
          </w:rPr>
          <w:t xml:space="preserve">2020</w:t>
        </w:r>
      </w:hyperlink>
      <w:r>
        <w:t xml:space="preserve">)</w:t>
      </w:r>
      <w:r>
        <w:t xml:space="preserve">. We retained each study’s definition rather than imposing a common one, so part of the among-study variation reflects measurement rather than biology. Because demographic observations alone cannot identify the sexual versus clonal origin of colonies, they should be interpreted alongside—not as a substitute for—genetic information when the recovery question concerns population persistence</w:t>
      </w:r>
      <w:r>
        <w:t xml:space="preserve"> </w:t>
      </w:r>
      <w:r>
        <w:t xml:space="preserve">(</w:t>
      </w:r>
      <w:hyperlink w:anchor="ref-groberdunsmore2007">
        <w:r>
          <w:rPr>
            <w:rStyle w:val="Hyperlink"/>
          </w:rPr>
          <w:t xml:space="preserve">Grober-Dunsmore et al. 2007</w:t>
        </w:r>
      </w:hyperlink>
      <w:r>
        <w:t xml:space="preserve">)</w:t>
      </w:r>
      <w:r>
        <w:t xml:space="preserve">.</w:t>
      </w:r>
    </w:p>
    <w:p>
      <w:pPr>
        <w:pStyle w:val="BodyText"/>
      </w:pPr>
      <w:r>
        <w:t xml:space="preserve">We assigned colonies to five size classes: SC1, 0–10 cm²; SC2, 10–100 cm²; SC3, 100–900 cm²; SC4, 900–4,000 cm²; and SC5, &gt;4,000 cm². These boundaries retain the structure of the published</w:t>
      </w:r>
      <w:r>
        <w:t xml:space="preserve"> </w:t>
      </w:r>
      <w:r>
        <w:rPr>
          <w:i/>
          <w:iCs/>
        </w:rPr>
        <w:t xml:space="preserve">A. palmata</w:t>
      </w:r>
      <w:r>
        <w:t xml:space="preserve"> </w:t>
      </w:r>
      <w:r>
        <w:t xml:space="preserve">Lefkovitch model while separating recruits from small juveniles</w:t>
      </w:r>
      <w:r>
        <w:t xml:space="preserve"> </w:t>
      </w:r>
      <w:r>
        <w:t xml:space="preserve">(</w:t>
      </w:r>
      <w:hyperlink w:anchor="ref-vardi2011">
        <w:r>
          <w:rPr>
            <w:rStyle w:val="Hyperlink"/>
          </w:rPr>
          <w:t xml:space="preserve">Vardi 2011</w:t>
        </w:r>
      </w:hyperlink>
      <w:r>
        <w:t xml:space="preserve">)</w:t>
      </w:r>
      <w:r>
        <w:t xml:space="preserve">. Shrinkage was negative annual change in live tissue area among colonies that survived an interval. Retrogression was an observed transition from a larger to a smaller size class.</w:t>
      </w:r>
    </w:p>
    <w:bookmarkEnd w:id="12"/>
    <w:bookmarkStart w:id="13" w:name="Xece0ee2f691b80d5cf7d6a54bcb0bcd19e09b35"/>
    <w:p>
      <w:pPr>
        <w:pStyle w:val="Heading3"/>
      </w:pPr>
      <w:r>
        <w:t xml:space="preserve">Disturbance and restoration classification</w:t>
      </w:r>
    </w:p>
    <w:p>
      <w:pPr>
        <w:pStyle w:val="FirstParagraph"/>
      </w:pPr>
      <w:r>
        <w:t xml:space="preserve">We retained all intervals in primary analyses because observed storms, disease, bleaching, cold events, and chronic stressors comprise the demographic context experienced by the study populations. We linked each monitoring interval to a curated Caribbean disturbance timeline that distinguished acute events used in baseline-exclusion sensitivity analyses from chronic or indirect pressures retained as contextual exposure. We verified the interval-to-event linkage independently and report the resulting study-window summary in Online Resource 1, Table S2. We fitted size-by-disturbance interaction models to natural-colony records, thereby avoiding the confounding of disturbance context with restoration material and handling history.</w:t>
      </w:r>
    </w:p>
    <w:p>
      <w:pPr>
        <w:pStyle w:val="BodyText"/>
      </w:pPr>
      <w:r>
        <w:t xml:space="preserve">For restoration analyses, we used study metadata to classify records as natural fragments, nursery outplants, nursery outplants re-cemented after fragmentation, or outplanted colonies. This subtype analysis was an interpretive sensitivity analysis, not a causal comparison of interventions. It was designed to test whether the broad label</w:t>
      </w:r>
      <w:r>
        <w:t xml:space="preserve"> </w:t>
      </w:r>
      <w:r>
        <w:t xml:space="preserve">“restoration fragment”</w:t>
      </w:r>
      <w:r>
        <w:t xml:space="preserve"> </w:t>
      </w:r>
      <w:r>
        <w:t xml:space="preserve">concealed demographic differences among biologically distinct materials.</w:t>
      </w:r>
    </w:p>
    <w:bookmarkEnd w:id="13"/>
    <w:bookmarkStart w:id="14" w:name="X46a26221947591b33c720684cc1c1b8cfbe8799"/>
    <w:p>
      <w:pPr>
        <w:pStyle w:val="Heading3"/>
      </w:pPr>
      <w:r>
        <w:t xml:space="preserve">Vital-rate, meta-analytic, and population analyses</w:t>
      </w:r>
    </w:p>
    <w:p>
      <w:pPr>
        <w:pStyle w:val="FirstParagraph"/>
      </w:pPr>
      <w:r>
        <w:t xml:space="preserve">We modeled annual survival as a function of log-transformed colony size using binomial generalized additive models and modeled relative growth rate with Gaussian generalized additive models. These main-figure curves are unadjusted descriptive GAMs; mixed-effect models accounting for study served as diagnostics and sensitivity analyses rather than as the source of their displayed intervals. We used a pre-specified GAM threshold analysis</w:t>
      </w:r>
      <w:r>
        <w:t xml:space="preserve"> </w:t>
      </w:r>
      <w:r>
        <w:t xml:space="preserve">(</w:t>
      </w:r>
      <w:hyperlink w:anchor="ref-detmer2025">
        <w:r>
          <w:rPr>
            <w:rStyle w:val="Hyperlink"/>
          </w:rPr>
          <w:t xml:space="preserve">Detmer et al. 2025</w:t>
        </w:r>
      </w:hyperlink>
      <w:r>
        <w:t xml:space="preserve">)</w:t>
      </w:r>
      <w:r>
        <w:t xml:space="preserve"> </w:t>
      </w:r>
      <w:r>
        <w:t xml:space="preserve">to evaluate nonlinear functional form and identify supported inflection points. We reported a threshold only when the GAM outperformed a linear model by at least 2 AICc units, then located it from derivatives of the fitted curve. We interpreted thresholds as features of the available data and study composition rather than fixed biological boundaries. We evaluated model fit and dependence on individual studies with the project’s verification and leave-one-study-out procedures.</w:t>
      </w:r>
    </w:p>
    <w:p>
      <w:pPr>
        <w:pStyle w:val="BodyText"/>
      </w:pPr>
      <w:r>
        <w:t xml:space="preserve">For the expanded survival synthesis, we annualized interval-level survival using a constant-hazard transformation,</w:t>
      </w:r>
      <w:r>
        <w:t xml:space="preserve"> </w:t>
      </w:r>
      <m:oMath>
        <m:sSub>
          <m:e>
            <m:r>
              <m:t>S</m:t>
            </m:r>
          </m:e>
          <m:sub>
            <m:r>
              <m:rPr>
                <m:sty m:val="p"/>
              </m:rPr>
              <m:t>a</m:t>
            </m:r>
            <m:r>
              <m:rPr>
                <m:sty m:val="p"/>
              </m:rPr>
              <m:t>n</m:t>
            </m:r>
            <m:r>
              <m:rPr>
                <m:sty m:val="p"/>
              </m:rPr>
              <m:t>n</m:t>
            </m:r>
            <m:r>
              <m:rPr>
                <m:sty m:val="p"/>
              </m:rPr>
              <m:t>u</m:t>
            </m:r>
            <m:r>
              <m:rPr>
                <m:sty m:val="p"/>
              </m:rPr>
              <m:t>a</m:t>
            </m:r>
            <m:r>
              <m:rPr>
                <m:sty m:val="p"/>
              </m:rPr>
              <m:t>l</m:t>
            </m:r>
          </m:sub>
        </m:sSub>
        <m:r>
          <m:rPr>
            <m:sty m:val="p"/>
          </m:rPr>
          <m:t>=</m:t>
        </m:r>
        <m:sSubSup>
          <m:e>
            <m:r>
              <m:t>S</m:t>
            </m:r>
          </m:e>
          <m:sub>
            <m:r>
              <m:rPr>
                <m:sty m:val="p"/>
              </m:rPr>
              <m:t>o</m:t>
            </m:r>
            <m:r>
              <m:rPr>
                <m:sty m:val="p"/>
              </m:rPr>
              <m:t>b</m:t>
            </m:r>
            <m:r>
              <m:rPr>
                <m:sty m:val="p"/>
              </m:rPr>
              <m:t>s</m:t>
            </m:r>
            <m:r>
              <m:rPr>
                <m:sty m:val="p"/>
              </m:rPr>
              <m:t>e</m:t>
            </m:r>
            <m:r>
              <m:rPr>
                <m:sty m:val="p"/>
              </m:rPr>
              <m:t>r</m:t>
            </m:r>
            <m:r>
              <m:rPr>
                <m:sty m:val="p"/>
              </m:rPr>
              <m:t>v</m:t>
            </m:r>
            <m:r>
              <m:rPr>
                <m:sty m:val="p"/>
              </m:rPr>
              <m:t>e</m:t>
            </m:r>
            <m:r>
              <m:rPr>
                <m:sty m:val="p"/>
              </m:rPr>
              <m:t>d</m:t>
            </m:r>
          </m:sub>
          <m:sup>
            <m:r>
              <m:t>1</m:t>
            </m:r>
            <m:r>
              <m:rPr>
                <m:sty m:val="p"/>
              </m:rPr>
              <m:t>/</m:t>
            </m:r>
            <m:r>
              <m:t>t</m:t>
            </m:r>
          </m:sup>
        </m:sSubSup>
      </m:oMath>
      <w:r>
        <w:t xml:space="preserve">, before aggregating study-region effects. We transformed those annualized proportions to proportional log-odds effect sizes and applied a 0.5 continuity correction to zero cells. The primary random-effects model was a three-level REML model with study and within-study effect structure and</w:t>
      </w:r>
      <w:r>
        <w:t xml:space="preserve"> </w:t>
      </w:r>
      <w:r>
        <w:rPr>
          <w:i/>
          <w:iCs/>
        </w:rPr>
        <w:t xml:space="preserve">t</w:t>
      </w:r>
      <w:r>
        <w:t xml:space="preserve">-based inference; an independent-effect model with Knapp–Hartung inference was a sensitivity analysis</w:t>
      </w:r>
      <w:r>
        <w:t xml:space="preserve"> </w:t>
      </w:r>
      <w:r>
        <w:t xml:space="preserve">(</w:t>
      </w:r>
      <w:hyperlink w:anchor="ref-knapp2003">
        <w:r>
          <w:rPr>
            <w:rStyle w:val="Hyperlink"/>
          </w:rPr>
          <w:t xml:space="preserve">Knapp and Hartung 2003</w:t>
        </w:r>
      </w:hyperlink>
      <w:r>
        <w:t xml:space="preserve">;</w:t>
      </w:r>
      <w:r>
        <w:t xml:space="preserve"> </w:t>
      </w:r>
      <w:hyperlink w:anchor="ref-viechtbauer2010">
        <w:r>
          <w:rPr>
            <w:rStyle w:val="Hyperlink"/>
          </w:rPr>
          <w:t xml:space="preserve">Viechtbauer 2010</w:t>
        </w:r>
      </w:hyperlink>
      <w:r>
        <w:t xml:space="preserve">)</w:t>
      </w:r>
      <w:r>
        <w:t xml:space="preserve">. We report pooled survival, 95% confidence intervals, prediction intervals, and heterogeneity statistics. We evaluated population type, colony size, year, and region as exploratory moderators because the number of effects was limited. We also performed leave-one-out, classification, and risk-of-bias sensitivity analyses. We assessed small-study effects with Egger-type regression tests on the independent-effect and three-level models and with trim-and-fill on the independent-effect model. Funnel-plot methods were designed for comparative effect sizes, so we treat these tests as diagnostics of asymmetry among single-proportion effects rather than as direct tests of publication bias.</w:t>
      </w:r>
    </w:p>
    <w:p>
      <w:pPr>
        <w:pStyle w:val="BodyText"/>
      </w:pPr>
      <w:r>
        <w:t xml:space="preserve">We constructed a five-class, recruitment-free Lefkovitch transition matrix from the prepared natural-colony transition data. The dominant eigenvalue (lambda) represented conditional annual growth of the observed post-settlement transition subsystem, not a full population forecast. Matrix support was uneven: five studies contributed survival, three contributed growth, SC5 survival was predominantly supported by NOAA records, and fragmentation was represented only by Vardi</w:t>
      </w:r>
      <w:r>
        <w:t xml:space="preserve"> </w:t>
      </w:r>
      <w:r>
        <w:t xml:space="preserve">(</w:t>
      </w:r>
      <w:hyperlink w:anchor="ref-vardi2011">
        <w:r>
          <w:rPr>
            <w:rStyle w:val="Hyperlink"/>
          </w:rPr>
          <w:t xml:space="preserve">2011</w:t>
        </w:r>
      </w:hyperlink>
      <w:r>
        <w:t xml:space="preserve">)</w:t>
      </w:r>
      <w:r>
        <w:t xml:space="preserve">. We quantified the elasticity of lambda to stasis, growth, retrogression, and fragmentation transitions, and propagated sampling uncertainty through hierarchical bootstrap resampling: studies were resampled first, then observations within sampled studies. We used 2,000 valid bootstrap replicates and leave-one-study-out analyses to characterize dependence on the contributing datasets; 43 bootstrap replicates imputed at least one missing size-class survival value, and the resampling did not propagate survival–growth covariance.</w:t>
      </w:r>
    </w:p>
    <w:p>
      <w:pPr>
        <w:pStyle w:val="BodyText"/>
      </w:pPr>
      <w:r>
        <w:t xml:space="preserve">We treated the 2023 Florida heatwave as an episodic, Florida-specific survival pulse rather than as a replacement for the chronic-regime matrix. We first used the</w:t>
      </w:r>
      <w:r>
        <w:t xml:space="preserve"> </w:t>
      </w:r>
      <w:r>
        <w:rPr>
          <w:i/>
          <w:iCs/>
        </w:rPr>
        <w:t xml:space="preserve">A. palmata</w:t>
      </w:r>
      <w:r>
        <w:t xml:space="preserve"> </w:t>
      </w:r>
      <w:r>
        <w:t xml:space="preserve">dose-response thresholds reported by Manzello et al.</w:t>
      </w:r>
      <w:r>
        <w:t xml:space="preserve"> </w:t>
      </w:r>
      <w:r>
        <w:t xml:space="preserve">(</w:t>
      </w:r>
      <w:hyperlink w:anchor="ref-manzello2025">
        <w:r>
          <w:rPr>
            <w:rStyle w:val="Hyperlink"/>
          </w:rPr>
          <w:t xml:space="preserve">Manzello et al. 2025</w:t>
        </w:r>
      </w:hyperlink>
      <w:r>
        <w:t xml:space="preserve">)</w:t>
      </w:r>
      <w:r>
        <w:t xml:space="preserve"> </w:t>
      </w:r>
      <w:r>
        <w:t xml:space="preserve">(ED50 = 7.8 degree-heating weeks [DHW], ED95 = 17.6 DHW) to define 8-, 12-, and 18-DHW sensitivity scenarios. We then added an observed-2023 Florida endpoint: 97.8–100% mortality, represented by a 0–2.2% heatwave-year survival multiplier. The deterministic projection used the midpoint of that range; because the published study reports bounds rather than a colony-level sampling distribution, Monte Carlo projections sampled uniformly across the reported range at each prescribed event. Heatwave pulses were applied after the annual matrix transition to all size classes, consistent with the reported absence of size refuge during the Florida event. We report the geometric mean of annual abundance ratios as effective lambda under recurrence intervals of 5, 10, 20, and 50 years, and the probability that total abundance fell below 10% of its initial value within 50 years (quasi-extinction). These intervals span frequent to rare recurrence and are sensitivity values, not estimates of future return periods. The scenarios are stress tests for a Florida-like event sequence, not estimates of a Caribbean-wide thermal mortality rate or full population viability.</w:t>
      </w:r>
    </w:p>
    <w:bookmarkEnd w:id="14"/>
    <w:bookmarkStart w:id="15" w:name="reproducibility"/>
    <w:p>
      <w:pPr>
        <w:pStyle w:val="Heading3"/>
      </w:pPr>
      <w:r>
        <w:t xml:space="preserve">Reproducibility</w:t>
      </w:r>
    </w:p>
    <w:p>
      <w:pPr>
        <w:pStyle w:val="FirstParagraph"/>
      </w:pPr>
      <w:r>
        <w:t xml:space="preserve">We conducted analyses in R 4.5.2 under the project’s locked computational environment; the central workflow uses</w:t>
      </w:r>
      <w:r>
        <w:t xml:space="preserve"> </w:t>
      </w:r>
      <w:r>
        <w:rPr>
          <w:rStyle w:val="VerbatimChar"/>
        </w:rPr>
        <w:t xml:space="preserve">mgcv</w:t>
      </w:r>
      <w:r>
        <w:t xml:space="preserve"> </w:t>
      </w:r>
      <w:r>
        <w:t xml:space="preserve">for generalized additive models,</w:t>
      </w:r>
      <w:r>
        <w:t xml:space="preserve"> </w:t>
      </w:r>
      <w:r>
        <w:rPr>
          <w:rStyle w:val="VerbatimChar"/>
        </w:rPr>
        <w:t xml:space="preserve">metafor</w:t>
      </w:r>
      <w:r>
        <w:t xml:space="preserve"> </w:t>
      </w:r>
      <w:r>
        <w:t xml:space="preserve">for meta-analysis, and</w:t>
      </w:r>
      <w:r>
        <w:t xml:space="preserve"> </w:t>
      </w:r>
      <w:r>
        <w:rPr>
          <w:rStyle w:val="VerbatimChar"/>
        </w:rPr>
        <w:t xml:space="preserve">lme4</w:t>
      </w:r>
      <w:r>
        <w:t xml:space="preserve"> </w:t>
      </w:r>
      <w:r>
        <w:t xml:space="preserve">for mixed-effect diagnostic models. All data processing, analysis scripts, figures, and manuscript-facing tables are maintained in the accompanying public repository. The repository documents the workflow, output inventory, and figure map that connect each main-text result to its generating script and output (Data availability statement below). A versioned archival release will be deposited upon acceptance.</w:t>
      </w:r>
    </w:p>
    <w:bookmarkEnd w:id="15"/>
    <w:bookmarkEnd w:id="16"/>
    <w:bookmarkStart w:id="25" w:name="results"/>
    <w:p>
      <w:pPr>
        <w:pStyle w:val="Heading2"/>
      </w:pPr>
      <w:r>
        <w:t xml:space="preserve">Results</w:t>
      </w:r>
    </w:p>
    <w:bookmarkStart w:id="17" w:name="Xffb17af034a8e728377d5805c2bff6c755d5b63"/>
    <w:p>
      <w:pPr>
        <w:pStyle w:val="Heading3"/>
      </w:pPr>
      <w:r>
        <w:t xml:space="preserve">Evidence spanned the Caribbean but was geographically uneven</w:t>
      </w:r>
    </w:p>
    <w:p>
      <w:pPr>
        <w:pStyle w:val="FirstParagraph"/>
      </w:pPr>
      <w:r>
        <w:t xml:space="preserve">The synthesis combined individual-level monitoring with study-level records across 13 Caribbean regions (Fig. 1). The Florida Keys supplied 6,222 observations, more than all other regions combined, whereas several non-Florida regions contributed data from only a subset of size classes. Large adults outside Florida, Curaçao, and Navassa were particularly sparse. This imbalance matters because large colonies had the greatest demographic leverage in the projection model, but the regions in which they were best represented did not encompass the full Caribbean range.</w:t>
      </w:r>
    </w:p>
    <w:bookmarkEnd w:id="17"/>
    <w:bookmarkStart w:id="18" w:name="X2191c30e706c5da7bdbc4b67cd0cf2b4ba90f9a"/>
    <w:p>
      <w:pPr>
        <w:pStyle w:val="Heading3"/>
      </w:pPr>
      <w:r>
        <w:t xml:space="preserve">Colony size structured survival and growth nonlinearly</w:t>
      </w:r>
    </w:p>
    <w:p>
      <w:pPr>
        <w:pStyle w:val="FirstParagraph"/>
      </w:pPr>
      <w:r>
        <w:t xml:space="preserve">Survival increased with colony size, from roughly 60% below 10 cm² to above 90% beyond 4,000 cm², although size explained less than 10% of the deviance in individual fate (Fig. 2a). The survival GAM outperformed a linear model (ΔAICc = 17.9) and identified a high-size inflection near 7,498 cm², but leave-one-study-out estimates were broad, indicating that the exact location of this threshold was not stable across the study mix. Relative growth rate showed a sharper early ontogenetic transition: the estimated inflection occurred near 37 cm², while the probability of positive growth crossed its threshold near 411 cm² (Online Resource 1, Fig. S1). Relative growth captured size dependence more effectively than absolute growth rate, whose variance increased strongly with colony size.</w:t>
      </w:r>
    </w:p>
    <w:p>
      <w:pPr>
        <w:pStyle w:val="BodyText"/>
      </w:pPr>
      <w:r>
        <w:t xml:space="preserve">Study-level survival estimates by size class showed that the size effect was concentrated in the largest classes (Fig. 2c). Pooled survival was nearly flat from SC1 to SC3 (77.3%, 75.1%, and 76.6%) and then rose to 90.9% in SC4 and 94.7% in SC5, where every study estimate exceeded 82%. Among-study spread was widest in SC1–SC3, where individual estimates ranged from about 40% to 100% and where study context, disturbance history, and population type varied most strongly. Size therefore structured demographic performance, but it did not supply a region- or disturbance-independent prediction of fate.</w:t>
      </w:r>
    </w:p>
    <w:bookmarkEnd w:id="18"/>
    <w:bookmarkStart w:id="19" w:name="Xbc74a816a9f58856df9aec7e950739f9d730495"/>
    <w:p>
      <w:pPr>
        <w:pStyle w:val="Heading3"/>
      </w:pPr>
      <w:r>
        <w:t xml:space="preserve">Annual survival varied widely among Caribbean studies</w:t>
      </w:r>
    </w:p>
    <w:p>
      <w:pPr>
        <w:pStyle w:val="FirstParagraph"/>
      </w:pPr>
      <w:r>
        <w:t xml:space="preserve">The expanded synthesis estimated pooled annual survival at 78.7% (95% CI: 70.4–85.1%; 95% prediction interval: 37.4–95.8%) across 17 studies and 22 study-region effects (Fig. 3a). Tier 1 and Tier 2 effects were both annualized before aggregation. Heterogeneity was high (I² = 97.6%;</w:t>
      </w:r>
      <w:r>
        <w:t xml:space="preserve"> </w:t>
      </w:r>
      <m:oMath>
        <m:sSup>
          <m:e>
            <m:r>
              <m:t>τ</m:t>
            </m:r>
          </m:e>
          <m:sup>
            <m:r>
              <m:t>2</m:t>
            </m:r>
          </m:sup>
        </m:sSup>
      </m:oMath>
      <w:r>
        <w:t xml:space="preserve"> </w:t>
      </w:r>
      <w:r>
        <w:t xml:space="preserve">= 0.72, of which 0.29 was between studies and 0.44 within studies), so the pooled value summarizes the assembled evidence rather than a Caribbean-wide constant. No single study moved the independent-effect estimate by more than 2.6 percentage points in leave-one-out analyses, and restricting the synthesis to the 13 studies with the highest methodological-quality scores changed it by less than 1 point. Evidence for small-study asymmetry was mixed: the Egger-type test was not significant for the independent-effect model (</w:t>
      </w:r>
      <w:r>
        <w:rPr>
          <w:i/>
          <w:iCs/>
        </w:rPr>
        <w:t xml:space="preserve">p</w:t>
      </w:r>
      <w:r>
        <w:t xml:space="preserve"> </w:t>
      </w:r>
      <w:r>
        <w:t xml:space="preserve">= 0.55) but was significant for the three-level model (</w:t>
      </w:r>
      <w:r>
        <w:rPr>
          <w:i/>
          <w:iCs/>
        </w:rPr>
        <w:t xml:space="preserve">p</w:t>
      </w:r>
      <w:r>
        <w:t xml:space="preserve"> </w:t>
      </w:r>
      <w:r>
        <w:t xml:space="preserve">= 0.001), and trim-and-fill imputed three effects and lowered the independent-effect estimate from 80.1% to 77.3%.</w:t>
      </w:r>
    </w:p>
    <w:p>
      <w:pPr>
        <w:pStyle w:val="BodyText"/>
      </w:pPr>
      <w:r>
        <w:t xml:space="preserve">Natural-colony effects had higher pooled survival than restoration-fragment effects (85.4%, 95% CI 72.9–92.7%,</w:t>
      </w:r>
      <w:r>
        <w:t xml:space="preserve"> </w:t>
      </w:r>
      <w:r>
        <w:rPr>
          <w:i/>
          <w:iCs/>
        </w:rPr>
        <w:t xml:space="preserve">k</w:t>
      </w:r>
      <w:r>
        <w:t xml:space="preserve"> </w:t>
      </w:r>
      <w:r>
        <w:t xml:space="preserve">= 10, versus 74.5%, 63.9–82.9%,</w:t>
      </w:r>
      <w:r>
        <w:t xml:space="preserve"> </w:t>
      </w:r>
      <w:r>
        <w:rPr>
          <w:i/>
          <w:iCs/>
        </w:rPr>
        <w:t xml:space="preserve">k</w:t>
      </w:r>
      <w:r>
        <w:t xml:space="preserve"> </w:t>
      </w:r>
      <w:r>
        <w:t xml:space="preserve">= 12), but population type was not a supported moderator (</w:t>
      </w:r>
      <w:r>
        <w:rPr>
          <w:i/>
          <w:iCs/>
        </w:rPr>
        <w:t xml:space="preserve">p</w:t>
      </w:r>
      <w:r>
        <w:t xml:space="preserve"> </w:t>
      </w:r>
      <w:r>
        <w:t xml:space="preserve">= 0.20). With 22 effects, the minimum detectable difference at 80% power was about 20 percentage points, so the analysis could not have reliably detected the observed 10.9-point difference. Regional variation remained substantial within population types (Fig. 3b). The overlap-zone comparison likewise showed that study identity and sampling context could not be separated cleanly from population origin (Online Resource 1, Fig. S2). These analyses do not support a single general survival penalty or benefit of restoration origin.</w:t>
      </w:r>
    </w:p>
    <w:bookmarkEnd w:id="19"/>
    <w:bookmarkStart w:id="20" w:name="Xe7c168ff09160b1b164e04c569880117a24e7fb"/>
    <w:p>
      <w:pPr>
        <w:pStyle w:val="Heading3"/>
      </w:pPr>
      <w:r>
        <w:t xml:space="preserve">Shrinkage and retrogression accompanied colony survival</w:t>
      </w:r>
    </w:p>
    <w:p>
      <w:pPr>
        <w:pStyle w:val="FirstParagraph"/>
      </w:pPr>
      <w:r>
        <w:t xml:space="preserve">Colonies often survived while losing tissue. In the matrix-compatible growth dataset, 39.4% of records showed shrinkage (Online Resource 1, Fig. S3). Shrinkage frequency increased from 18.2% in SC1 to 47.5% in SC5, demonstrating that large colonies were not simply stable endpoints. Retrogression probabilities were 15.2% in SC2, 16.8% in SC3, 17.2% in SC4, and 9.1% in SC5. Thus, large colonies persisted more reliably than small colonies, but partial mortality still moved a measurable fraction of survivors backward through the size structure.</w:t>
      </w:r>
    </w:p>
    <w:bookmarkEnd w:id="20"/>
    <w:bookmarkStart w:id="21" w:name="X31e25a3a51a2e2a086a1a081ccd2860357d6f93"/>
    <w:p>
      <w:pPr>
        <w:pStyle w:val="Heading3"/>
      </w:pPr>
      <w:r>
        <w:t xml:space="preserve">Size–survival associations differed across exposure categories</w:t>
      </w:r>
    </w:p>
    <w:p>
      <w:pPr>
        <w:pStyle w:val="FirstParagraph"/>
      </w:pPr>
      <w:r>
        <w:t xml:space="preserve">The study-window linkage covered 1,072 demographic intervals, 95.1% of which overlapped at least one curated disturbance or chronic-pressure record (Online Resource 1, Table S2). Only 353 of 6,141 natural-colony survival records came from intervals with no curated disturbance, and 193 of those were SC5 colonies. The survival relationship with colony size differed among intervals with no curated disturbance, context-only pressure, and acute baseline-exclusion exposure (likelihood-ratio test,</w:t>
      </w:r>
      <w:r>
        <w:t xml:space="preserve"> </w:t>
      </w:r>
      <w:r>
        <w:rPr>
          <w:i/>
          <w:iCs/>
        </w:rPr>
        <w:t xml:space="preserve">p</w:t>
      </w:r>
      <w:r>
        <w:t xml:space="preserve"> </w:t>
      </w:r>
      <w:r>
        <w:t xml:space="preserve">&lt; 0.001; Online Resource 1, Fig. S4), but not in the direction a simple disturbance penalty would predict. Large colonies survived better in intervals flagged for acute events (SC5: 98.0%,</w:t>
      </w:r>
      <w:r>
        <w:t xml:space="preserve"> </w:t>
      </w:r>
      <w:r>
        <w:rPr>
          <w:i/>
          <w:iCs/>
        </w:rPr>
        <w:t xml:space="preserve">n</w:t>
      </w:r>
      <w:r>
        <w:t xml:space="preserve"> </w:t>
      </w:r>
      <w:r>
        <w:t xml:space="preserve">= 409; SC4: 90.4%,</w:t>
      </w:r>
      <w:r>
        <w:t xml:space="preserve"> </w:t>
      </w:r>
      <w:r>
        <w:rPr>
          <w:i/>
          <w:iCs/>
        </w:rPr>
        <w:t xml:space="preserve">n</w:t>
      </w:r>
      <w:r>
        <w:t xml:space="preserve"> </w:t>
      </w:r>
      <w:r>
        <w:t xml:space="preserve">= 250) than in intervals with no curated event (SC5: 83.9%,</w:t>
      </w:r>
      <w:r>
        <w:t xml:space="preserve"> </w:t>
      </w:r>
      <w:r>
        <w:rPr>
          <w:i/>
          <w:iCs/>
        </w:rPr>
        <w:t xml:space="preserve">n</w:t>
      </w:r>
      <w:r>
        <w:t xml:space="preserve"> </w:t>
      </w:r>
      <w:r>
        <w:t xml:space="preserve">= 193; SC4: 79.1%,</w:t>
      </w:r>
      <w:r>
        <w:t xml:space="preserve"> </w:t>
      </w:r>
      <w:r>
        <w:rPr>
          <w:i/>
          <w:iCs/>
        </w:rPr>
        <w:t xml:space="preserve">n</w:t>
      </w:r>
      <w:r>
        <w:t xml:space="preserve"> </w:t>
      </w:r>
      <w:r>
        <w:t xml:space="preserve">= 91), whereas survival of SC2 and SC3 colonies differed by less than 6 percentage points among states. The size-by-exposure interaction for the probability of positive growth was weaker (</w:t>
      </w:r>
      <w:r>
        <w:rPr>
          <w:i/>
          <w:iCs/>
        </w:rPr>
        <w:t xml:space="preserve">p</w:t>
      </w:r>
      <w:r>
        <w:t xml:space="preserve"> </w:t>
      </w:r>
      <w:r>
        <w:t xml:space="preserve">= 0.010). Excluding all acute baseline-exclusion intervals from the individual-level synthesis (six studies) changed its pooled survival from 75.9% to 75.6%, indicating that the pooled result was not driven by locally identified acute events. Disturbance exposure was instead pervasive across the monitored demographic regime.</w:t>
      </w:r>
    </w:p>
    <w:bookmarkEnd w:id="21"/>
    <w:bookmarkStart w:id="22" w:name="X7f238287742fa18fb45de48ed65cf9d569b8102"/>
    <w:p>
      <w:pPr>
        <w:pStyle w:val="Heading3"/>
      </w:pPr>
      <w:r>
        <w:t xml:space="preserve">Restoration survival varied among material subtypes</w:t>
      </w:r>
    </w:p>
    <w:p>
      <w:pPr>
        <w:pStyle w:val="FirstParagraph"/>
      </w:pPr>
      <w:r>
        <w:t xml:space="preserve">The subtype-coded dataset contained 5,079 records from five studies (Online Resource 1, Fig. S5): 3,968 natural fragments from one study, 1,012 nursery outplants from two studies, 53 re-cemented nursery outplants from one study, and 46 direct outplants from one study. Natural fragments had weighted survival of 87.1%, compared with 58.7% for nursery outplants, 81.1% for nursery outplants re-cemented after fragmentation, and 65.2% for outplanted colonies. Excluding natural fragments reduced mean survival across subtype-coded records from 81.2% to 60.0%. These contrasts show why a broad restoration-fragment category is not an adequate biological description of the material represented in the synthesis; they are descriptive because the subtype groups are highly unbalanced.</w:t>
      </w:r>
    </w:p>
    <w:bookmarkEnd w:id="22"/>
    <w:bookmarkStart w:id="23" w:name="X6321192b47eb219af68a80ecc7d2737113bf60d"/>
    <w:p>
      <w:pPr>
        <w:pStyle w:val="Heading3"/>
      </w:pPr>
      <w:r>
        <w:t xml:space="preserve">Large-adult stasis dominated conditional transition dynamics</w:t>
      </w:r>
    </w:p>
    <w:p>
      <w:pPr>
        <w:pStyle w:val="FirstParagraph"/>
      </w:pPr>
      <w:r>
        <w:t xml:space="preserve">The recruitment-free transition matrix estimated a deterministic lambda of 0.961 (95% bootstrap interval: 0.816–1.010; Fig. 4). In 94.3% of hierarchical-bootstrap replicates, lambda was below one. This resampling fraction characterizes uncertainty in the compiled transition rates; it is not a probability of real-world population decline. Stasis dominated the transition matrix, and SC5-to-SC5 stasis accounted for 58.9% of matrix-cell elasticity. Leave-one-study-out estimates of lambda ranged from 0.882 (excluding NOAA monitoring) to 0.993 (excluding Neely et al.</w:t>
      </w:r>
      <w:r>
        <w:t xml:space="preserve"> </w:t>
      </w:r>
      <w:r>
        <w:t xml:space="preserve">(</w:t>
      </w:r>
      <w:hyperlink w:anchor="ref-neely2022">
        <w:r>
          <w:rPr>
            <w:rStyle w:val="Hyperlink"/>
          </w:rPr>
          <w:t xml:space="preserve">2022</w:t>
        </w:r>
      </w:hyperlink>
      <w:r>
        <w:t xml:space="preserve">)</w:t>
      </w:r>
      <w:r>
        <w:t xml:space="preserve">), indicating substantial dependence on the three natural-colony transition datasets. Removing fragmentation altogether lowered lambda to 0.892, so asexual fragment production, estimated from a single study, contributed about 0.07 to the deterministic growth rate. Within this conditional, recruitment-free subsystem, persistence of large adults had more influence on lambda than marginal changes in any single early transition.</w:t>
      </w:r>
    </w:p>
    <w:bookmarkEnd w:id="23"/>
    <w:bookmarkStart w:id="24" w:name="X8db1308ec1789a7f8e8f47eeed0ff48fb843777"/>
    <w:p>
      <w:pPr>
        <w:pStyle w:val="Heading3"/>
      </w:pPr>
      <w:r>
        <w:t xml:space="preserve">Florida-scale heatwaves reduced effective lambda</w:t>
      </w:r>
    </w:p>
    <w:p>
      <w:pPr>
        <w:pStyle w:val="FirstParagraph"/>
      </w:pPr>
      <w:r>
        <w:t xml:space="preserve">The thermal-event layer did not alter the chronic-regime matrix lambda; it estimated the conditional consequence of recurrent survival pulses. Under the observed 2023 Florida endpoint, effective lambda was 0.355, 0.576, 0.769, and 0.846 when a Florida-like event recurred every 5, 10, 20, and 50 years, respectively (Online Resource 1, Fig. S6). Every observed-endpoint scenario reached quasi-extinction within 50 years in all simulations. The baseline was already precarious: without heatwaves, the stochastic projections had an effective lambda of 0.933, lower than the deterministic 0.961 because the simulations drew from bootstrap-resampled matrices, and a 70.8% probability of quasi-extinction within 50 years. The 18-DHW dose-response sensitivity scenario was less severe than the observed endpoint because its fitted mortality was 95.5%, rather than the 97.8–100% mortality reported from the Florida Keys and Dry Tortugas. These results should not be extrapolated as a Caribbean-wide forecast: they show that recovery trajectories conditional on the compiled post-settlement matrix are highly vulnerable to recurrence of an event of the observed Florida magnitude.</w:t>
      </w:r>
    </w:p>
    <w:bookmarkEnd w:id="24"/>
    <w:bookmarkEnd w:id="25"/>
    <w:bookmarkStart w:id="29" w:name="discussion"/>
    <w:p>
      <w:pPr>
        <w:pStyle w:val="Heading2"/>
      </w:pPr>
      <w:r>
        <w:t xml:space="preserve">Discussion</w:t>
      </w:r>
    </w:p>
    <w:p>
      <w:pPr>
        <w:pStyle w:val="FirstParagraph"/>
      </w:pPr>
      <w:r>
        <w:t xml:space="preserve">Our synthesis shows that</w:t>
      </w:r>
      <w:r>
        <w:t xml:space="preserve"> </w:t>
      </w:r>
      <w:r>
        <w:rPr>
          <w:i/>
          <w:iCs/>
        </w:rPr>
        <w:t xml:space="preserve">A. palmata</w:t>
      </w:r>
      <w:r>
        <w:t xml:space="preserve"> </w:t>
      </w:r>
      <w:r>
        <w:t xml:space="preserve">recovery depends less on a single average survival rate than on the size-dependent transitions that keep colonies alive, intact, and capable of becoming persistent adults. We extend the available demographic evidence in three ways. First, survival and growth change nonlinearly with colony size, so early growth and large-adult persistence make different contributions to the post-settlement subsystem. Second, shrinkage and retrogression are common enough that a live/dead framing misses a principal route by which colonies lose future reproductive and structural value. Third, the heterogeneity among studies is not variation to average away: it defines the conditions under which regional estimates and restoration comparisons can be interpreted.</w:t>
      </w:r>
    </w:p>
    <w:bookmarkStart w:id="26" w:name="Xcbe83bde2807881d3fa62ac46a4900c4d7f612c"/>
    <w:p>
      <w:pPr>
        <w:pStyle w:val="Heading3"/>
      </w:pPr>
      <w:r>
        <w:t xml:space="preserve">Size-dependent transitions determine demographic leverage</w:t>
      </w:r>
    </w:p>
    <w:p>
      <w:pPr>
        <w:pStyle w:val="FirstParagraph"/>
      </w:pPr>
      <w:r>
        <w:t xml:space="preserve">Large colonies carried the greatest leverage for population growth because their stasis had the highest elasticity. This pattern is consistent with Lirman’s</w:t>
      </w:r>
      <w:r>
        <w:t xml:space="preserve"> </w:t>
      </w:r>
      <w:r>
        <w:t xml:space="preserve">(</w:t>
      </w:r>
      <w:hyperlink w:anchor="ref-lirman2000">
        <w:r>
          <w:rPr>
            <w:rStyle w:val="Hyperlink"/>
          </w:rPr>
          <w:t xml:space="preserve">2000</w:t>
        </w:r>
      </w:hyperlink>
      <w:r>
        <w:t xml:space="preserve">)</w:t>
      </w:r>
      <w:r>
        <w:t xml:space="preserve"> </w:t>
      </w:r>
      <w:r>
        <w:t xml:space="preserve">demonstration that large</w:t>
      </w:r>
      <w:r>
        <w:t xml:space="preserve"> </w:t>
      </w:r>
      <w:r>
        <w:rPr>
          <w:i/>
          <w:iCs/>
        </w:rPr>
        <w:t xml:space="preserve">A. palmata</w:t>
      </w:r>
      <w:r>
        <w:t xml:space="preserve"> </w:t>
      </w:r>
      <w:r>
        <w:t xml:space="preserve">colonies combine persistence, reproduction, and fragment production, and with the northern Florida Keys matrix of Vardi et al.</w:t>
      </w:r>
      <w:r>
        <w:t xml:space="preserve"> </w:t>
      </w:r>
      <w:r>
        <w:t xml:space="preserve">(</w:t>
      </w:r>
      <w:hyperlink w:anchor="ref-vardi2012">
        <w:r>
          <w:rPr>
            <w:rStyle w:val="Hyperlink"/>
          </w:rPr>
          <w:t xml:space="preserve">2012</w:t>
        </w:r>
      </w:hyperlink>
      <w:r>
        <w:t xml:space="preserve">)</w:t>
      </w:r>
      <w:r>
        <w:t xml:space="preserve">, in which the largest size class also had the highest elasticity. Those matrices are not independent tests: the same northern Florida Keys monitoring dominates our SC5 data. However, our results also show why large colony size cannot be treated as a sufficient restoration endpoint. Tissue loss was frequent even in SC5, and every non-recruit class retrogressed. Grober-Dunsmore et al.</w:t>
      </w:r>
      <w:r>
        <w:t xml:space="preserve"> </w:t>
      </w:r>
      <w:r>
        <w:t xml:space="preserve">(</w:t>
      </w:r>
      <w:hyperlink w:anchor="ref-groberdunsmore2006">
        <w:r>
          <w:rPr>
            <w:rStyle w:val="Hyperlink"/>
          </w:rPr>
          <w:t xml:space="preserve">2006</w:t>
        </w:r>
      </w:hyperlink>
      <w:r>
        <w:t xml:space="preserve">)</w:t>
      </w:r>
      <w:r>
        <w:t xml:space="preserve"> </w:t>
      </w:r>
      <w:r>
        <w:t xml:space="preserve">similarly found that disease and corallivore stress were concentrated on large colonies in St. John. Thus, restoration strategies should be evaluated by whether they maintain live tissue and prevent backward transitions, not simply by whether they produce larger colonies.</w:t>
      </w:r>
    </w:p>
    <w:p>
      <w:pPr>
        <w:pStyle w:val="BodyText"/>
      </w:pPr>
      <w:r>
        <w:t xml:space="preserve">The nonlinear growth pattern clarifies why size-based restoration targets cannot be inferred from a single average growth rate. Relative growth changed most rapidly at small sizes, whereas survival increased across a much larger size range. Retaining colonies through early size classes may therefore yield large proportional gains, but maintaining existing adults contributes more directly to persistence in the compiled matrix. The thresholds themselves are not universal biological cutoffs: they vary with study composition and measurement context. Their value is diagnostic. They identify where an intervention that improves growth or survival is most likely to alter the transition structure represented by the current evidence.</w:t>
      </w:r>
    </w:p>
    <w:bookmarkEnd w:id="26"/>
    <w:bookmarkStart w:id="27" w:name="X3b273719e71271e341538f4adfc3b2a31e2b5d5"/>
    <w:p>
      <w:pPr>
        <w:pStyle w:val="Heading3"/>
      </w:pPr>
      <w:r>
        <w:t xml:space="preserve">Disturbance and restoration context constrain transferability</w:t>
      </w:r>
    </w:p>
    <w:p>
      <w:pPr>
        <w:pStyle w:val="FirstParagraph"/>
      </w:pPr>
      <w:r>
        <w:t xml:space="preserve">Disturbance history is part of the demographic regime, but the available studies do not identify a common causal disturbance effect. Most intervals overlapped a documented event or chronic pressure, and large colonies survived better in intervals flagged for acute events than in the few intervals without a curated event. That counterintuitive pattern indicates that the exposure categories track study, site, and survey period at least as closely as they track realized disturbance intensity. The undisturbed category was small and drawn from a narrow set of studies and years. We therefore retain disturbance history as context for the observed transitions rather than interpreting it as a treatment effect. This distinction is consequential under contemporary heat stress: Manzello et al.</w:t>
      </w:r>
      <w:r>
        <w:t xml:space="preserve"> </w:t>
      </w:r>
      <w:r>
        <w:t xml:space="preserve">(</w:t>
      </w:r>
      <w:hyperlink w:anchor="ref-manzello2025">
        <w:r>
          <w:rPr>
            <w:rStyle w:val="Hyperlink"/>
          </w:rPr>
          <w:t xml:space="preserve">2025</w:t>
        </w:r>
      </w:hyperlink>
      <w:r>
        <w:t xml:space="preserve">)</w:t>
      </w:r>
      <w:r>
        <w:t xml:space="preserve"> </w:t>
      </w:r>
      <w:r>
        <w:t xml:space="preserve">documented 97.8–100% mortality of</w:t>
      </w:r>
      <w:r>
        <w:t xml:space="preserve"> </w:t>
      </w:r>
      <w:r>
        <w:rPr>
          <w:i/>
          <w:iCs/>
        </w:rPr>
        <w:t xml:space="preserve">A. palmata</w:t>
      </w:r>
      <w:r>
        <w:t xml:space="preserve"> </w:t>
      </w:r>
      <w:r>
        <w:t xml:space="preserve">in the Florida Keys and Dry Tortugas during the 2023 heatwave. Our chronic-regime matrix is not a forecast under that regime; the event-pulse scenarios instead show how quickly its conditional trajectories deteriorate when Florida-scale mortality recurs.</w:t>
      </w:r>
    </w:p>
    <w:p>
      <w:pPr>
        <w:pStyle w:val="BodyText"/>
      </w:pPr>
      <w:r>
        <w:t xml:space="preserve">Restoration survival is not a transferable property of a generic fragment. In the subtype-coded records, nursery outplants, re-cemented nursery outplants, direct outplants, and natural fragments differed markedly in survival, and removing natural fragments lowered the record-weighted mean from 81.2% to 60.0%. This is not evidence that any one material is intrinsically superior: each subtype is entangled with colony size, nursery history, attachment method, substrate, site, and study. It is, however, sufficient evidence to reject a single</w:t>
      </w:r>
      <w:r>
        <w:t xml:space="preserve"> </w:t>
      </w:r>
      <w:r>
        <w:t xml:space="preserve">“restoration survival”</w:t>
      </w:r>
      <w:r>
        <w:t xml:space="preserve"> </w:t>
      </w:r>
      <w:r>
        <w:t xml:space="preserve">benchmark. A project that plants nursery fragments should be compared with other nursery-fragment cohorts of known initial size and time since outplanting, rather than with natural fragments or sexually propagated recruits. Similarly, a re-cementation intervention should be evaluated against broken colonies that were not re-cemented, with live tissue loss and subsequent size-class transition recorded alongside survival. Pausch et al.</w:t>
      </w:r>
      <w:r>
        <w:t xml:space="preserve"> </w:t>
      </w:r>
      <w:r>
        <w:t xml:space="preserve">(</w:t>
      </w:r>
      <w:hyperlink w:anchor="ref-pausch2018">
        <w:r>
          <w:rPr>
            <w:rStyle w:val="Hyperlink"/>
          </w:rPr>
          <w:t xml:space="preserve">2018</w:t>
        </w:r>
      </w:hyperlink>
      <w:r>
        <w:t xml:space="preserve">)</w:t>
      </w:r>
      <w:r>
        <w:t xml:space="preserve"> </w:t>
      </w:r>
      <w:r>
        <w:t xml:space="preserve">showed that fragment genotype, habitat, and size can jointly shape</w:t>
      </w:r>
      <w:r>
        <w:t xml:space="preserve"> </w:t>
      </w:r>
      <w:r>
        <w:rPr>
          <w:i/>
          <w:iCs/>
        </w:rPr>
        <w:t xml:space="preserve">A. palmata</w:t>
      </w:r>
      <w:r>
        <w:t xml:space="preserve"> </w:t>
      </w:r>
      <w:r>
        <w:t xml:space="preserve">outplant performance, and Kuffner et al.</w:t>
      </w:r>
      <w:r>
        <w:t xml:space="preserve"> </w:t>
      </w:r>
      <w:r>
        <w:t xml:space="preserve">(</w:t>
      </w:r>
      <w:hyperlink w:anchor="ref-kuffner2020">
        <w:r>
          <w:rPr>
            <w:rStyle w:val="Hyperlink"/>
          </w:rPr>
          <w:t xml:space="preserve">2020</w:t>
        </w:r>
      </w:hyperlink>
      <w:r>
        <w:t xml:space="preserve">)</w:t>
      </w:r>
      <w:r>
        <w:t xml:space="preserve"> </w:t>
      </w:r>
      <w:r>
        <w:t xml:space="preserve">documented recovery of a stepping-stone population through site-specific restoration. Those studies underscore the point: the intervention is a material-by-site combination, not the word</w:t>
      </w:r>
      <w:r>
        <w:t xml:space="preserve"> </w:t>
      </w:r>
      <w:r>
        <w:t xml:space="preserve">“outplant.”</w:t>
      </w:r>
    </w:p>
    <w:p>
      <w:pPr>
        <w:pStyle w:val="BodyText"/>
      </w:pPr>
      <w:r>
        <w:t xml:space="preserve">This distinction changes what restoration programs should measure. Each outplant cohort should report its source material, initial live planar area, attachment or re-cementation treatment, site, survey interval, and fate at each resurvey. Fate should include mortality, positive growth, stasis, and retrogression, because a surviving colony that loses tissue can leave the demographic pathway to a persistent adult. The appropriate primary endpoint is therefore not the proportion of colonies alive after a planting campaign. It is the fraction of the cohort that remains in, or advances to, the next relevant size class while retaining live tissue. This endpoint also makes programs comparable without pretending that a 5-cm nursery fragment, a reattached fragment, and a sexual recruit represent the same biological starting state. Schopmeyer et al.</w:t>
      </w:r>
      <w:r>
        <w:t xml:space="preserve"> </w:t>
      </w:r>
      <w:r>
        <w:t xml:space="preserve">(</w:t>
      </w:r>
      <w:hyperlink w:anchor="ref-schopmeyer2017">
        <w:r>
          <w:rPr>
            <w:rStyle w:val="Hyperlink"/>
          </w:rPr>
          <w:t xml:space="preserve">2017</w:t>
        </w:r>
      </w:hyperlink>
      <w:r>
        <w:t xml:space="preserve">)</w:t>
      </w:r>
      <w:r>
        <w:t xml:space="preserve"> </w:t>
      </w:r>
      <w:r>
        <w:t xml:space="preserve">developed first-year benchmarks for established</w:t>
      </w:r>
      <w:r>
        <w:t xml:space="preserve"> </w:t>
      </w:r>
      <w:r>
        <w:rPr>
          <w:i/>
          <w:iCs/>
        </w:rPr>
        <w:t xml:space="preserve">Acropora cervicornis</w:t>
      </w:r>
      <w:r>
        <w:t xml:space="preserve"> </w:t>
      </w:r>
      <w:r>
        <w:t xml:space="preserve">outplants, whereas Chamberland et al.</w:t>
      </w:r>
      <w:r>
        <w:t xml:space="preserve"> </w:t>
      </w:r>
      <w:r>
        <w:t xml:space="preserve">(</w:t>
      </w:r>
      <w:hyperlink w:anchor="ref-chamberland2015">
        <w:r>
          <w:rPr>
            <w:rStyle w:val="Hyperlink"/>
          </w:rPr>
          <w:t xml:space="preserve">2015</w:t>
        </w:r>
      </w:hyperlink>
      <w:r>
        <w:t xml:space="preserve">)</w:t>
      </w:r>
      <w:r>
        <w:t xml:space="preserve"> </w:t>
      </w:r>
      <w:r>
        <w:t xml:space="preserve">and Mendoza Quiroz et al.</w:t>
      </w:r>
      <w:r>
        <w:t xml:space="preserve"> </w:t>
      </w:r>
      <w:r>
        <w:t xml:space="preserve">(</w:t>
      </w:r>
      <w:hyperlink w:anchor="ref-mendozaquiroz2023">
        <w:r>
          <w:rPr>
            <w:rStyle w:val="Hyperlink"/>
          </w:rPr>
          <w:t xml:space="preserve">2023</w:t>
        </w:r>
      </w:hyperlink>
      <w:r>
        <w:t xml:space="preserve">)</w:t>
      </w:r>
      <w:r>
        <w:t xml:space="preserve"> </w:t>
      </w:r>
      <w:r>
        <w:t xml:space="preserve">documented more stringent bottlenecks during sexual propagation of</w:t>
      </w:r>
      <w:r>
        <w:t xml:space="preserve"> </w:t>
      </w:r>
      <w:r>
        <w:rPr>
          <w:i/>
          <w:iCs/>
        </w:rPr>
        <w:t xml:space="preserve">A. palmata</w:t>
      </w:r>
      <w:r>
        <w:t xml:space="preserve">. Species, material, and life stage must therefore be retained in the benchmark itself.</w:t>
      </w:r>
    </w:p>
    <w:p>
      <w:pPr>
        <w:pStyle w:val="BodyText"/>
      </w:pPr>
      <w:r>
        <w:t xml:space="preserve">The results also separate two restoration objectives that are often combined. Maintaining large existing</w:t>
      </w:r>
      <w:r>
        <w:t xml:space="preserve"> </w:t>
      </w:r>
      <w:r>
        <w:rPr>
          <w:i/>
          <w:iCs/>
        </w:rPr>
        <w:t xml:space="preserve">A. palmata</w:t>
      </w:r>
      <w:r>
        <w:t xml:space="preserve"> </w:t>
      </w:r>
      <w:r>
        <w:t xml:space="preserve">colonies can have more immediate demographic leverage than increasing the count of small outplants, because large-adult stasis dominated the compiled matrix. That inference supports a complementary investment in retaining live tissue on existing large colonies through disease response, corallivore management where locally justified, physical stabilization after damage, or other site-specific actions that reduce backward transitions. It does not imply that planting small colonies is unimportant. Early size classes are the point at which relative growth changed most rapidly, so improving the transition of a new cohort through those classes remains necessary to build the next generation of adults. The decision is not adults</w:t>
      </w:r>
      <w:r>
        <w:t xml:space="preserve"> </w:t>
      </w:r>
      <w:r>
        <w:rPr>
          <w:i/>
          <w:iCs/>
        </w:rPr>
        <w:t xml:space="preserve">or</w:t>
      </w:r>
      <w:r>
        <w:t xml:space="preserve"> </w:t>
      </w:r>
      <w:r>
        <w:t xml:space="preserve">recruits; it is whether a limited budget is buying adult tissue retention, passage through early size classes, or both, and whether the program measures the transition each action was intended to improve.</w:t>
      </w:r>
    </w:p>
    <w:p>
      <w:pPr>
        <w:pStyle w:val="BodyText"/>
      </w:pPr>
      <w:r>
        <w:t xml:space="preserve">Settlement-based restoration requires an additional, explicit habitat criterion. The synthesis does not estimate settlement probability, but sexual recruits enter the population through a different bottleneck from fragments. Ritson-Williams et al.</w:t>
      </w:r>
      <w:r>
        <w:t xml:space="preserve"> </w:t>
      </w:r>
      <w:r>
        <w:t xml:space="preserve">(</w:t>
      </w:r>
      <w:hyperlink w:anchor="ref-ritsonwilliams2013">
        <w:r>
          <w:rPr>
            <w:rStyle w:val="Hyperlink"/>
          </w:rPr>
          <w:t xml:space="preserve">2014</w:t>
        </w:r>
      </w:hyperlink>
      <w:r>
        <w:t xml:space="preserve">;</w:t>
      </w:r>
      <w:r>
        <w:t xml:space="preserve"> </w:t>
      </w:r>
      <w:hyperlink w:anchor="ref-ritsonwilliams2020">
        <w:r>
          <w:rPr>
            <w:rStyle w:val="Hyperlink"/>
          </w:rPr>
          <w:t xml:space="preserve">2020</w:t>
        </w:r>
      </w:hyperlink>
      <w:r>
        <w:t xml:space="preserve">)</w:t>
      </w:r>
      <w:r>
        <w:t xml:space="preserve"> </w:t>
      </w:r>
      <w:r>
        <w:t xml:space="preserve">showed that red algae, macroalgae, and cyanobacteria can alter settlement or larval survival. Thus, a sexual-propagation program should not interpret failure after outplanting as a property of the recruit alone; it should record the settlement surface and early benthic context. Conversely, the available data cannot yet identify a universal initial size at which sexual recruits should be transferred or a universal substrate that guarantees success. Those are site-specific comparisons that need to be built into restoration trials, not assumed from a pooled survival estimate.</w:t>
      </w:r>
    </w:p>
    <w:p>
      <w:pPr>
        <w:pStyle w:val="BodyText"/>
      </w:pPr>
      <w:r>
        <w:t xml:space="preserve">Extreme heterogeneity is both the central limitation and the central contribution of this synthesis. The prediction interval spanned most of the probability scale, mortality definitions and monitoring intervals varied among source studies, NOAA monitoring supplied 78% of individual-level records, and the three-level model showed evidence of small-study asymmetry. Large adults outside a few regions remained poorly represented even though they had the greatest elasticity. These features limit the precision of regional rates and the generality of projected</w:t>
      </w:r>
      <w:r>
        <w:t xml:space="preserve"> </w:t>
      </w:r>
      <m:oMath>
        <m:r>
          <m:t>λ</m:t>
        </m:r>
      </m:oMath>
      <w:r>
        <w:t xml:space="preserve">. However, they do not erase the recurring patterns: size dependence, frequent partial mortality, large-adult leverage, and the importance of disturbance and intervention context. Retaining study identity, prediction intervals, and material subtypes makes those limits visible rather than embedding them in an apparently precise pooled rate.</w:t>
      </w:r>
    </w:p>
    <w:bookmarkEnd w:id="27"/>
    <w:bookmarkStart w:id="28" w:name="priorities-for-demographic-restoration"/>
    <w:p>
      <w:pPr>
        <w:pStyle w:val="Heading3"/>
      </w:pPr>
      <w:r>
        <w:t xml:space="preserve">Priorities for demographic restoration</w:t>
      </w:r>
    </w:p>
    <w:p>
      <w:pPr>
        <w:pStyle w:val="FirstParagraph"/>
      </w:pPr>
      <w:r>
        <w:t xml:space="preserve">The next empirical priority is not another undifferentiated estimate of average survival. Three targeted gaps limit inference. (1) Large-adult survival and retrogression outside Florida: SC5 carried 60% of aggregated survival elasticity but was supported mainly by NOAA monitoring, and excluding that dataset lowered</w:t>
      </w:r>
      <w:r>
        <w:t xml:space="preserve"> </w:t>
      </w:r>
      <m:oMath>
        <m:r>
          <m:t>λ</m:t>
        </m:r>
      </m:oMath>
      <w:r>
        <w:t xml:space="preserve"> </w:t>
      </w:r>
      <w:r>
        <w:t xml:space="preserve">from 0.961 to 0.882. (2) Early survival of defined restoration materials, reported by subtype, size at outplanting, and time since outplanting, so that nursery outplants, re-cemented fragments, and sexual recruits are no longer pooled. (3) Fragmentation and sexual recruitment: fragment production rested on one study yet contributed about 0.07 to</w:t>
      </w:r>
      <w:r>
        <w:t xml:space="preserve"> </w:t>
      </w:r>
      <m:oMath>
        <m:r>
          <m:t>λ</m:t>
        </m:r>
      </m:oMath>
      <w:r>
        <w:t xml:space="preserve">, whereas sexual recruitment was fixed at zero. Comparable measurements of live area, mortality definition, monitoring interval, colony origin, and disturbance exposure would allow future syntheses to separate biological variation from measurement variation.</w:t>
      </w:r>
    </w:p>
    <w:p>
      <w:pPr>
        <w:pStyle w:val="BodyText"/>
      </w:pPr>
      <w:r>
        <w:t xml:space="preserve">Recovery of a foundation species depends on rebuilding the demographic pathways that create durable ecological structure. For</w:t>
      </w:r>
      <w:r>
        <w:t xml:space="preserve"> </w:t>
      </w:r>
      <w:r>
        <w:rPr>
          <w:i/>
          <w:iCs/>
        </w:rPr>
        <w:t xml:space="preserve">A. palmata</w:t>
      </w:r>
      <w:r>
        <w:t xml:space="preserve">, outplant counts and average survival cannot identify whether restoration produces persistent adults or merely short-lived planting records. Decisions that protect live tissue, retain colonies through damaging events, and evaluate performance by material subtype will be more informative than a single regional benchmark. This is the demographic information needed to connect restoration actions to population outcomes</w:t>
      </w:r>
      <w:r>
        <w:t xml:space="preserve"> </w:t>
      </w:r>
      <w:r>
        <w:t xml:space="preserve">(</w:t>
      </w:r>
      <w:hyperlink w:anchor="ref-madin2025">
        <w:r>
          <w:rPr>
            <w:rStyle w:val="Hyperlink"/>
          </w:rPr>
          <w:t xml:space="preserve">Madin et al. 2025</w:t>
        </w:r>
      </w:hyperlink>
      <w:r>
        <w:t xml:space="preserve">)</w:t>
      </w:r>
      <w:r>
        <w:t xml:space="preserve">. As heatwaves and other disturbances continue to reshape Caribbean reefs, demographic synthesis can make those decisions explicit and direct restoration toward persistent coral habitat.</w:t>
      </w:r>
    </w:p>
    <w:bookmarkEnd w:id="28"/>
    <w:bookmarkEnd w:id="29"/>
    <w:bookmarkStart w:id="30" w:name="acknowledgements"/>
    <w:p>
      <w:pPr>
        <w:pStyle w:val="Heading2"/>
      </w:pPr>
      <w:r>
        <w:t xml:space="preserve">Acknowledgements</w:t>
      </w:r>
    </w:p>
    <w:p>
      <w:pPr>
        <w:pStyle w:val="FirstParagraph"/>
      </w:pPr>
      <w:r>
        <w:t xml:space="preserve">We thank the NOAA Southeast Fisheries Science Center, K. Neely, the US Geological Survey, and FUNDEMAR for sharing monitoring data, and the authors of the published studies whose summaries made this synthesis possible. [Authors to confirm the individuals and programs to acknowledge.]</w:t>
      </w:r>
    </w:p>
    <w:bookmarkEnd w:id="30"/>
    <w:bookmarkStart w:id="39" w:name="statements-and-declarations"/>
    <w:p>
      <w:pPr>
        <w:pStyle w:val="Heading2"/>
      </w:pPr>
      <w:r>
        <w:t xml:space="preserve">Statements and Declarations</w:t>
      </w:r>
    </w:p>
    <w:bookmarkStart w:id="31" w:name="funding"/>
    <w:p>
      <w:pPr>
        <w:pStyle w:val="Heading3"/>
      </w:pPr>
      <w:r>
        <w:t xml:space="preserve">Funding</w:t>
      </w:r>
    </w:p>
    <w:p>
      <w:pPr>
        <w:pStyle w:val="FirstParagraph"/>
      </w:pPr>
      <w:r>
        <w:t xml:space="preserve">This work was supported by The Nature Conservancy.</w:t>
      </w:r>
    </w:p>
    <w:bookmarkEnd w:id="31"/>
    <w:bookmarkStart w:id="32" w:name="competing-interests"/>
    <w:p>
      <w:pPr>
        <w:pStyle w:val="Heading3"/>
      </w:pPr>
      <w:r>
        <w:t xml:space="preserve">Competing interests</w:t>
      </w:r>
    </w:p>
    <w:p>
      <w:pPr>
        <w:pStyle w:val="FirstParagraph"/>
      </w:pPr>
      <w:r>
        <w:t xml:space="preserve">The authors declare no competing interests.</w:t>
      </w:r>
    </w:p>
    <w:bookmarkEnd w:id="32"/>
    <w:bookmarkStart w:id="33" w:name="ethics-approval-and-permits"/>
    <w:p>
      <w:pPr>
        <w:pStyle w:val="Heading3"/>
      </w:pPr>
      <w:r>
        <w:t xml:space="preserve">Ethics approval and permits</w:t>
      </w:r>
    </w:p>
    <w:p>
      <w:pPr>
        <w:pStyle w:val="FirstParagraph"/>
      </w:pPr>
      <w:r>
        <w:t xml:space="preserve">Not applicable. This study synthesized existing observations and published</w:t>
      </w:r>
      <w:r>
        <w:t xml:space="preserve"> </w:t>
      </w:r>
      <w:r>
        <w:t xml:space="preserve">study summaries and involved no new human-participant research, animal use, or</w:t>
      </w:r>
      <w:r>
        <w:t xml:space="preserve"> </w:t>
      </w:r>
      <w:r>
        <w:t xml:space="preserve">field collection requiring ethical approval or permits.</w:t>
      </w:r>
    </w:p>
    <w:bookmarkEnd w:id="33"/>
    <w:bookmarkStart w:id="34" w:name="consent-to-participate"/>
    <w:p>
      <w:pPr>
        <w:pStyle w:val="Heading3"/>
      </w:pPr>
      <w:r>
        <w:t xml:space="preserve">Consent to participate</w:t>
      </w:r>
    </w:p>
    <w:p>
      <w:pPr>
        <w:pStyle w:val="FirstParagraph"/>
      </w:pPr>
      <w:r>
        <w:t xml:space="preserve">Not applicable.</w:t>
      </w:r>
    </w:p>
    <w:bookmarkEnd w:id="34"/>
    <w:bookmarkStart w:id="35" w:name="consent-to-publish"/>
    <w:p>
      <w:pPr>
        <w:pStyle w:val="Heading3"/>
      </w:pPr>
      <w:r>
        <w:t xml:space="preserve">Consent to publish</w:t>
      </w:r>
    </w:p>
    <w:p>
      <w:pPr>
        <w:pStyle w:val="FirstParagraph"/>
      </w:pPr>
      <w:r>
        <w:t xml:space="preserve">Not applicable.</w:t>
      </w:r>
    </w:p>
    <w:bookmarkEnd w:id="35"/>
    <w:bookmarkStart w:id="37" w:name="data-availability"/>
    <w:p>
      <w:pPr>
        <w:pStyle w:val="Heading3"/>
      </w:pPr>
      <w:r>
        <w:t xml:space="preserve">Data availability</w:t>
      </w:r>
    </w:p>
    <w:p>
      <w:pPr>
        <w:pStyle w:val="FirstParagraph"/>
      </w:pPr>
      <w:r>
        <w:t xml:space="preserve">The data and code underlying this study are maintained at</w:t>
      </w:r>
      <w:r>
        <w:t xml:space="preserve"> </w:t>
      </w:r>
      <w:hyperlink r:id="rId36">
        <w:r>
          <w:rPr>
            <w:rStyle w:val="Hyperlink"/>
          </w:rPr>
          <w:t xml:space="preserve">https://github.com/stier-lab/Detmer-2025-coral-parameters</w:t>
        </w:r>
      </w:hyperlink>
      <w:r>
        <w:t xml:space="preserve">. A versioned</w:t>
      </w:r>
      <w:r>
        <w:t xml:space="preserve"> </w:t>
      </w:r>
      <w:r>
        <w:t xml:space="preserve">archival release will be deposited upon acceptance.</w:t>
      </w:r>
    </w:p>
    <w:bookmarkEnd w:id="37"/>
    <w:bookmarkStart w:id="38" w:name="author-contributions"/>
    <w:p>
      <w:pPr>
        <w:pStyle w:val="Heading3"/>
      </w:pPr>
      <w:r>
        <w:t xml:space="preserve">Author contributions</w:t>
      </w:r>
    </w:p>
    <w:p>
      <w:pPr>
        <w:pStyle w:val="FirstParagraph"/>
      </w:pPr>
      <w:r>
        <w:t xml:space="preserve">A.C.S. conceived the study and led manuscript development. A.R.D. led data</w:t>
      </w:r>
      <w:r>
        <w:t xml:space="preserve"> </w:t>
      </w:r>
      <w:r>
        <w:t xml:space="preserve">curation and analyses. J.F.S., D.B., A.C., and R.I.S.-B. contributed domain</w:t>
      </w:r>
      <w:r>
        <w:t xml:space="preserve"> </w:t>
      </w:r>
      <w:r>
        <w:t xml:space="preserve">expertise, data resources, and interpretation. All authors reviewed and</w:t>
      </w:r>
      <w:r>
        <w:t xml:space="preserve"> </w:t>
      </w:r>
      <w:r>
        <w:t xml:space="preserve">approved the manuscript.</w:t>
      </w:r>
    </w:p>
    <w:bookmarkEnd w:id="38"/>
    <w:bookmarkEnd w:id="39"/>
    <w:bookmarkStart w:id="40" w:name="online-resources"/>
    <w:p>
      <w:pPr>
        <w:pStyle w:val="Heading2"/>
      </w:pPr>
      <w:r>
        <w:t xml:space="preserve">Online resources</w:t>
      </w:r>
    </w:p>
    <w:p>
      <w:pPr>
        <w:pStyle w:val="FirstParagraph"/>
      </w:pPr>
      <w:r>
        <w:rPr>
          <w:b/>
          <w:bCs/>
        </w:rPr>
        <w:t xml:space="preserve">Online Resource 1 (ESM_1.pdf).</w:t>
      </w:r>
      <w:r>
        <w:t xml:space="preserve"> </w:t>
      </w:r>
      <w:r>
        <w:t xml:space="preserve">Concise supporting analyses for the</w:t>
      </w:r>
      <w:r>
        <w:t xml:space="preserve"> </w:t>
      </w:r>
      <w:r>
        <w:rPr>
          <w:i/>
          <w:iCs/>
        </w:rPr>
        <w:t xml:space="preserve">Acropora palmata</w:t>
      </w:r>
      <w:r>
        <w:t xml:space="preserve"> </w:t>
      </w:r>
      <w:r>
        <w:t xml:space="preserve">demographic synthesis: two supporting tables, including a study-window disturbance summary, and six supplementary figures. Extended diagnostics and source outputs remain available in the public repository.</w:t>
      </w:r>
    </w:p>
    <w:bookmarkEnd w:id="40"/>
    <w:bookmarkStart w:id="41" w:name="figure-legends"/>
    <w:p>
      <w:pPr>
        <w:pStyle w:val="Heading2"/>
      </w:pPr>
      <w:r>
        <w:t xml:space="preserve">Figure legends</w:t>
      </w:r>
    </w:p>
    <w:p>
      <w:pPr>
        <w:pStyle w:val="FirstParagraph"/>
      </w:pPr>
      <w:r>
        <w:rPr>
          <w:b/>
          <w:bCs/>
        </w:rPr>
        <w:t xml:space="preserve">Fig. 1</w:t>
      </w:r>
      <w:r>
        <w:t xml:space="preserve"> </w:t>
      </w:r>
      <w:r>
        <w:t xml:space="preserve">Study landscape for the</w:t>
      </w:r>
      <w:r>
        <w:t xml:space="preserve"> </w:t>
      </w:r>
      <w:r>
        <w:rPr>
          <w:i/>
          <w:iCs/>
        </w:rPr>
        <w:t xml:space="preserve">Acropora palmata</w:t>
      </w:r>
      <w:r>
        <w:t xml:space="preserve"> </w:t>
      </w:r>
      <w:r>
        <w:t xml:space="preserve">demographic synthesis. (a) Study locations across the Caribbean. Circles identify individual-level (Tier 1) studies and triangles summary-level (Tier 2) studies; regions with both are shown with both symbols. Symbol area is proportional to the number of observations, and labels give regional totals. Locations are regional centroids. (b) Availability of individual-level observations by canonical size class and region; cell labels are sample sizes, and darker cells indicate more observations. Empty cells indicate no available observations. Size classes are SC1, 0–10 cm²; SC2, 10–100 cm²; SC3, 100–900 cm²; SC4, 900–4,000 cm²; and SC5, &gt;4,000 cm².</w:t>
      </w:r>
    </w:p>
    <w:p>
      <w:pPr>
        <w:pStyle w:val="BodyText"/>
      </w:pPr>
      <w:r>
        <w:rPr>
          <w:b/>
          <w:bCs/>
        </w:rPr>
        <w:t xml:space="preserve">Fig. 2</w:t>
      </w:r>
      <w:r>
        <w:t xml:space="preserve"> </w:t>
      </w:r>
      <w:r>
        <w:t xml:space="preserve">Size-dependent demographic rates for</w:t>
      </w:r>
      <w:r>
        <w:t xml:space="preserve"> </w:t>
      </w:r>
      <w:r>
        <w:rPr>
          <w:i/>
          <w:iCs/>
        </w:rPr>
        <w:t xml:space="preserve">Acropora palmata</w:t>
      </w:r>
      <w:r>
        <w:t xml:space="preserve">. (a) Annual survival probability as a function of live tissue area for natural colonies. The line and shaded band are an unadjusted binomial generalized additive model (GAM) and its 95% confidence interval; points are binned observed proportions. Upper and lower rugs identify survival and mortality observations, respectively. (b) Relative growth rate (yr</w:t>
      </w:r>
      <m:oMath>
        <m:sSup>
          <m:e>
            <m:r>
              <m:t>​</m:t>
            </m:r>
          </m:e>
          <m:sup>
            <m:r>
              <m:rPr>
                <m:sty m:val="p"/>
              </m:rPr>
              <m:t>−</m:t>
            </m:r>
            <m:r>
              <m:t>1</m:t>
            </m:r>
          </m:sup>
        </m:sSup>
      </m:oMath>
      <w:r>
        <w:t xml:space="preserve">) for natural colonies. The line and band are the unadjusted Gaussian GAM estimate and 95% confidence interval; pale points are individual observations, gold points are binned medians, and the dashed vertical line and band show the supported threshold and its cluster-bootstrap interval. (c) Study-level annual survival by size class. Colour indicates population type, shape identifies data tier, and point area is proportional to sample size; diamonds and error bars are pooled estimates and 95% confidence intervals.</w:t>
      </w:r>
      <w:r>
        <w:t xml:space="preserve"> </w:t>
      </w:r>
      <w:r>
        <w:rPr>
          <w:i/>
          <w:iCs/>
        </w:rPr>
        <w:t xml:space="preserve">k</w:t>
      </w:r>
      <w:r>
        <w:t xml:space="preserve"> </w:t>
      </w:r>
      <w:r>
        <w:t xml:space="preserve">gives the number of contributing effects.</w:t>
      </w:r>
    </w:p>
    <w:p>
      <w:pPr>
        <w:pStyle w:val="BodyText"/>
      </w:pPr>
      <w:r>
        <w:rPr>
          <w:b/>
          <w:bCs/>
        </w:rPr>
        <w:t xml:space="preserve">Fig. 3</w:t>
      </w:r>
      <w:r>
        <w:t xml:space="preserve"> </w:t>
      </w:r>
      <w:r>
        <w:t xml:space="preserve">Caribbean-wide survival synthesis for</w:t>
      </w:r>
      <w:r>
        <w:t xml:space="preserve"> </w:t>
      </w:r>
      <w:r>
        <w:rPr>
          <w:i/>
          <w:iCs/>
        </w:rPr>
        <w:t xml:space="preserve">Acropora palmata</w:t>
      </w:r>
      <w:r>
        <w:t xml:space="preserve">. (a) Random-effects annual-survival estimates from 17 studies contributing 22 effects. Points and horizontal lines are study estimates and 95% confidence intervals; point area is proportional to random-effects weight. Circles represent individual-level data and triangles summary-level data. Coloured diamonds are population-type pooled estimates, the dark diamond is the overall pooled estimate, the dashed line marks that estimate, and the shaded interval is its 95% prediction interval. (b) Regional study estimates and 95% confidence intervals. Colour identifies population type, point area is proportional to sample size, and dark diamonds identify regional pooled estimates where at least two effects were available. The dashed line marks overall pooled annual survival.</w:t>
      </w:r>
    </w:p>
    <w:p>
      <w:pPr>
        <w:pStyle w:val="BodyText"/>
      </w:pPr>
      <w:r>
        <w:rPr>
          <w:b/>
          <w:bCs/>
        </w:rPr>
        <w:t xml:space="preserve">Fig. 4</w:t>
      </w:r>
      <w:r>
        <w:t xml:space="preserve"> </w:t>
      </w:r>
      <w:r>
        <w:t xml:space="preserve">Conditional transition dynamics for</w:t>
      </w:r>
      <w:r>
        <w:t xml:space="preserve"> </w:t>
      </w:r>
      <w:r>
        <w:rPr>
          <w:i/>
          <w:iCs/>
        </w:rPr>
        <w:t xml:space="preserve">Acropora palmata</w:t>
      </w:r>
      <w:r>
        <w:t xml:space="preserve">. (a) Five-class, recruitment-free Lefkovitch transition matrix. Cells give annual transition probabilities from size class at time</w:t>
      </w:r>
      <w:r>
        <w:t xml:space="preserve"> </w:t>
      </w:r>
      <w:r>
        <w:rPr>
          <w:i/>
          <w:iCs/>
        </w:rPr>
        <w:t xml:space="preserve">t</w:t>
      </w:r>
      <w:r>
        <w:t xml:space="preserve"> </w:t>
      </w:r>
      <w:r>
        <w:t xml:space="preserve">to size class at time</w:t>
      </w:r>
      <w:r>
        <w:t xml:space="preserve"> </w:t>
      </w:r>
      <w:r>
        <w:rPr>
          <w:i/>
          <w:iCs/>
        </w:rPr>
        <w:t xml:space="preserve">t</w:t>
      </w:r>
      <w:r>
        <w:t xml:space="preserve"> </w:t>
      </w:r>
      <w:r>
        <w:t xml:space="preserve">+ 1; colour encodes probability. The SC5 column sums to more than one because it includes fragments produced by surviving colonies</w:t>
      </w:r>
      <w:r>
        <w:t xml:space="preserve"> </w:t>
      </w:r>
      <w:r>
        <w:t xml:space="preserve">(</w:t>
      </w:r>
      <w:hyperlink w:anchor="ref-vardi2011">
        <w:r>
          <w:rPr>
            <w:rStyle w:val="Hyperlink"/>
          </w:rPr>
          <w:t xml:space="preserve">Vardi 2011</w:t>
        </w:r>
      </w:hyperlink>
      <w:r>
        <w:t xml:space="preserve">)</w:t>
      </w:r>
      <w:r>
        <w:t xml:space="preserve">. (b) Elasticity decomposition by source size class. Stacked bars show stasis, growth, and retrogression; orange points show fragmentation elasticity, which is displayed separately because it is a component of retrogression rather than an additional transition class. (c) Distribution of lambda from 2,000 hierarchical-bootstrap replicates. Orange bars denote replicates with lambda &lt; 1 and blue bars replicates with lambda at least 1; the distribution characterizes uncertainty in the compiled transition rates, not the probability of real-world decline. The dashed line is the deterministic estimate and the solid line marks replacement. (d) Leave-one-study-out lambda estimates. The dashed and dotted lines mark the full-data estimate and replacement, respectively; orange identifies exclusion of the NOAA survey.</w:t>
      </w:r>
    </w:p>
    <w:bookmarkEnd w:id="41"/>
    <w:bookmarkStart w:id="54" w:name="figures"/>
    <w:p>
      <w:pPr>
        <w:pStyle w:val="Heading2"/>
      </w:pPr>
      <w:r>
        <w:t xml:space="preserve">Figures</w:t>
      </w:r>
    </w:p>
    <w:p>
      <w:pPr>
        <w:pStyle w:val="FirstParagraph"/>
      </w:pPr>
      <w:r>
        <w:drawing>
          <wp:inline>
            <wp:extent cx="5334000" cy="5363849"/>
            <wp:effectExtent b="0" l="0" r="0" t="0"/>
            <wp:docPr descr="" title="" id="43" name="Picture"/>
            <a:graphic>
              <a:graphicData uri="http://schemas.openxmlformats.org/drawingml/2006/picture">
                <pic:pic>
                  <pic:nvPicPr>
                    <pic:cNvPr descr="06_analysis/figures/manuscript/Fig1_study_landscape.png" id="44" name="Picture"/>
                    <pic:cNvPicPr>
                      <a:picLocks noChangeArrowheads="1" noChangeAspect="1"/>
                    </pic:cNvPicPr>
                  </pic:nvPicPr>
                  <pic:blipFill>
                    <a:blip r:embed="rId42"/>
                    <a:stretch>
                      <a:fillRect/>
                    </a:stretch>
                  </pic:blipFill>
                  <pic:spPr bwMode="auto">
                    <a:xfrm>
                      <a:off x="0" y="0"/>
                      <a:ext cx="5334000" cy="5363849"/>
                    </a:xfrm>
                    <a:prstGeom prst="rect">
                      <a:avLst/>
                    </a:prstGeom>
                    <a:noFill/>
                    <a:ln w="9525">
                      <a:noFill/>
                      <a:headEnd/>
                      <a:tailEnd/>
                    </a:ln>
                  </pic:spPr>
                </pic:pic>
              </a:graphicData>
            </a:graphic>
          </wp:inline>
        </w:drawing>
      </w:r>
    </w:p>
    <w:p>
      <w:pPr>
        <w:pStyle w:val="BodyText"/>
      </w:pPr>
      <w:r>
        <w:rPr>
          <w:b/>
          <w:bCs/>
        </w:rPr>
        <w:t xml:space="preserve">Figure 1. Study landscape and size-class coverage for the</w:t>
      </w:r>
      <w:r>
        <w:rPr>
          <w:b/>
          <w:bCs/>
        </w:rPr>
        <w:t xml:space="preserve"> </w:t>
      </w:r>
      <w:r>
        <w:rPr>
          <w:b/>
          <w:bCs/>
          <w:i/>
          <w:iCs/>
        </w:rPr>
        <w:t xml:space="preserve">Acropora palmata</w:t>
      </w:r>
      <w:r>
        <w:rPr>
          <w:b/>
          <w:bCs/>
        </w:rPr>
        <w:t xml:space="preserve"> </w:t>
      </w:r>
      <w:r>
        <w:rPr>
          <w:b/>
          <w:bCs/>
        </w:rPr>
        <w:t xml:space="preserve">demographic synthesis.</w:t>
      </w:r>
    </w:p>
    <w:p>
      <w:pPr>
        <w:pStyle w:val="BodyText"/>
      </w:pPr>
      <w:r>
        <w:drawing>
          <wp:inline>
            <wp:extent cx="5334000" cy="6743421"/>
            <wp:effectExtent b="0" l="0" r="0" t="0"/>
            <wp:docPr descr="" title="" id="46" name="Picture"/>
            <a:graphic>
              <a:graphicData uri="http://schemas.openxmlformats.org/drawingml/2006/picture">
                <pic:pic>
                  <pic:nvPicPr>
                    <pic:cNvPr descr="06_analysis/figures/manuscript/Fig2_demographic_rates.png" id="47" name="Picture"/>
                    <pic:cNvPicPr>
                      <a:picLocks noChangeArrowheads="1" noChangeAspect="1"/>
                    </pic:cNvPicPr>
                  </pic:nvPicPr>
                  <pic:blipFill>
                    <a:blip r:embed="rId45"/>
                    <a:stretch>
                      <a:fillRect/>
                    </a:stretch>
                  </pic:blipFill>
                  <pic:spPr bwMode="auto">
                    <a:xfrm>
                      <a:off x="0" y="0"/>
                      <a:ext cx="5334000" cy="6743421"/>
                    </a:xfrm>
                    <a:prstGeom prst="rect">
                      <a:avLst/>
                    </a:prstGeom>
                    <a:noFill/>
                    <a:ln w="9525">
                      <a:noFill/>
                      <a:headEnd/>
                      <a:tailEnd/>
                    </a:ln>
                  </pic:spPr>
                </pic:pic>
              </a:graphicData>
            </a:graphic>
          </wp:inline>
        </w:drawing>
      </w:r>
    </w:p>
    <w:p>
      <w:pPr>
        <w:pStyle w:val="BodyText"/>
      </w:pPr>
      <w:r>
        <w:rPr>
          <w:b/>
          <w:bCs/>
        </w:rPr>
        <w:t xml:space="preserve">Figure 2. Size-dependent survival and growth rates for</w:t>
      </w:r>
      <w:r>
        <w:rPr>
          <w:b/>
          <w:bCs/>
        </w:rPr>
        <w:t xml:space="preserve"> </w:t>
      </w:r>
      <w:r>
        <w:rPr>
          <w:b/>
          <w:bCs/>
          <w:i/>
          <w:iCs/>
        </w:rPr>
        <w:t xml:space="preserve">Acropora palmata</w:t>
      </w:r>
      <w:r>
        <w:rPr>
          <w:b/>
          <w:bCs/>
        </w:rPr>
        <w:t xml:space="preserve">.</w:t>
      </w:r>
    </w:p>
    <w:p>
      <w:pPr>
        <w:pStyle w:val="BodyText"/>
      </w:pPr>
      <w:r>
        <w:drawing>
          <wp:inline>
            <wp:extent cx="5334000" cy="7051002"/>
            <wp:effectExtent b="0" l="0" r="0" t="0"/>
            <wp:docPr descr="" title="" id="49" name="Picture"/>
            <a:graphic>
              <a:graphicData uri="http://schemas.openxmlformats.org/drawingml/2006/picture">
                <pic:pic>
                  <pic:nvPicPr>
                    <pic:cNvPr descr="06_analysis/figures/manuscript/Fig3_caribbean_synthesis.png" id="50" name="Picture"/>
                    <pic:cNvPicPr>
                      <a:picLocks noChangeArrowheads="1" noChangeAspect="1"/>
                    </pic:cNvPicPr>
                  </pic:nvPicPr>
                  <pic:blipFill>
                    <a:blip r:embed="rId48"/>
                    <a:stretch>
                      <a:fillRect/>
                    </a:stretch>
                  </pic:blipFill>
                  <pic:spPr bwMode="auto">
                    <a:xfrm>
                      <a:off x="0" y="0"/>
                      <a:ext cx="5334000" cy="7051002"/>
                    </a:xfrm>
                    <a:prstGeom prst="rect">
                      <a:avLst/>
                    </a:prstGeom>
                    <a:noFill/>
                    <a:ln w="9525">
                      <a:noFill/>
                      <a:headEnd/>
                      <a:tailEnd/>
                    </a:ln>
                  </pic:spPr>
                </pic:pic>
              </a:graphicData>
            </a:graphic>
          </wp:inline>
        </w:drawing>
      </w:r>
    </w:p>
    <w:p>
      <w:pPr>
        <w:pStyle w:val="BodyText"/>
      </w:pPr>
      <w:r>
        <w:rPr>
          <w:b/>
          <w:bCs/>
        </w:rPr>
        <w:t xml:space="preserve">Figure 3. Caribbean-wide annual-survival synthesis for</w:t>
      </w:r>
      <w:r>
        <w:rPr>
          <w:b/>
          <w:bCs/>
        </w:rPr>
        <w:t xml:space="preserve"> </w:t>
      </w:r>
      <w:r>
        <w:rPr>
          <w:b/>
          <w:bCs/>
          <w:i/>
          <w:iCs/>
        </w:rPr>
        <w:t xml:space="preserve">Acropora palmata</w:t>
      </w:r>
      <w:r>
        <w:rPr>
          <w:b/>
          <w:bCs/>
        </w:rPr>
        <w:t xml:space="preserve">.</w:t>
      </w:r>
    </w:p>
    <w:p>
      <w:pPr>
        <w:pStyle w:val="BodyText"/>
      </w:pPr>
      <w:r>
        <w:drawing>
          <wp:inline>
            <wp:extent cx="5334000" cy="5516991"/>
            <wp:effectExtent b="0" l="0" r="0" t="0"/>
            <wp:docPr descr="" title="" id="52" name="Picture"/>
            <a:graphic>
              <a:graphicData uri="http://schemas.openxmlformats.org/drawingml/2006/picture">
                <pic:pic>
                  <pic:nvPicPr>
                    <pic:cNvPr descr="06_analysis/figures/manuscript/Fig4_population_model.png" id="53" name="Picture"/>
                    <pic:cNvPicPr>
                      <a:picLocks noChangeArrowheads="1" noChangeAspect="1"/>
                    </pic:cNvPicPr>
                  </pic:nvPicPr>
                  <pic:blipFill>
                    <a:blip r:embed="rId51"/>
                    <a:stretch>
                      <a:fillRect/>
                    </a:stretch>
                  </pic:blipFill>
                  <pic:spPr bwMode="auto">
                    <a:xfrm>
                      <a:off x="0" y="0"/>
                      <a:ext cx="5334000" cy="5516991"/>
                    </a:xfrm>
                    <a:prstGeom prst="rect">
                      <a:avLst/>
                    </a:prstGeom>
                    <a:noFill/>
                    <a:ln w="9525">
                      <a:noFill/>
                      <a:headEnd/>
                      <a:tailEnd/>
                    </a:ln>
                  </pic:spPr>
                </pic:pic>
              </a:graphicData>
            </a:graphic>
          </wp:inline>
        </w:drawing>
      </w:r>
    </w:p>
    <w:p>
      <w:pPr>
        <w:pStyle w:val="BodyText"/>
      </w:pPr>
      <w:r>
        <w:rPr>
          <w:b/>
          <w:bCs/>
        </w:rPr>
        <w:t xml:space="preserve">Figure 4. Conditional recruitment-free transition dynamics for</w:t>
      </w:r>
      <w:r>
        <w:rPr>
          <w:b/>
          <w:bCs/>
        </w:rPr>
        <w:t xml:space="preserve"> </w:t>
      </w:r>
      <w:r>
        <w:rPr>
          <w:b/>
          <w:bCs/>
          <w:i/>
          <w:iCs/>
        </w:rPr>
        <w:t xml:space="preserve">Acropora palmata</w:t>
      </w:r>
      <w:r>
        <w:rPr>
          <w:b/>
          <w:bCs/>
        </w:rPr>
        <w:t xml:space="preserve">.</w:t>
      </w:r>
    </w:p>
    <w:bookmarkEnd w:id="54"/>
    <w:bookmarkStart w:id="140" w:name="refs"/>
    <w:p>
      <w:pPr>
        <w:pStyle w:val="Heading2"/>
      </w:pPr>
      <w:r>
        <w:t xml:space="preserve">References</w:t>
      </w:r>
    </w:p>
    <w:bookmarkStart w:id="139" w:name="refs"/>
    <w:bookmarkStart w:id="55" w:name="ref-aronsonprecht2001"/>
    <w:p>
      <w:pPr>
        <w:pStyle w:val="Bibliography"/>
      </w:pPr>
      <w:r>
        <w:t xml:space="preserve">Aronson RB, Precht WF (2001) White-band disease and the changing face of</w:t>
      </w:r>
      <w:r>
        <w:t xml:space="preserve"> </w:t>
      </w:r>
      <w:r>
        <w:t xml:space="preserve">Caribbean</w:t>
      </w:r>
      <w:r>
        <w:t xml:space="preserve"> </w:t>
      </w:r>
      <w:r>
        <w:t xml:space="preserve">coral reefs. Hydrobiologia 460:25–38</w:t>
      </w:r>
    </w:p>
    <w:bookmarkEnd w:id="55"/>
    <w:bookmarkStart w:id="57" w:name="ref-banister2024"/>
    <w:p>
      <w:pPr>
        <w:pStyle w:val="Bibliography"/>
      </w:pPr>
      <w:r>
        <w:t xml:space="preserve">Banister RB, Viehman TS, Schopmeyer S, van Woesik R</w:t>
      </w:r>
      <w:r>
        <w:t xml:space="preserve"> </w:t>
      </w:r>
      <w:r>
        <w:t xml:space="preserve">(2024) Environmental predictors for the restoration of a critically endangered coral,</w:t>
      </w:r>
      <w:r>
        <w:t xml:space="preserve"> </w:t>
      </w:r>
      <w:r>
        <w:t xml:space="preserve">Acropora palmata</w:t>
      </w:r>
      <w:r>
        <w:t xml:space="preserve">, along the</w:t>
      </w:r>
      <w:r>
        <w:t xml:space="preserve"> </w:t>
      </w:r>
      <w:r>
        <w:t xml:space="preserve">Florida</w:t>
      </w:r>
      <w:r>
        <w:t xml:space="preserve"> </w:t>
      </w:r>
      <w:r>
        <w:t xml:space="preserve">reef tract. PLoS ONE 19:e0296485.</w:t>
      </w:r>
      <w:r>
        <w:t xml:space="preserve"> </w:t>
      </w:r>
      <w:hyperlink r:id="rId56">
        <w:r>
          <w:rPr>
            <w:rStyle w:val="Hyperlink"/>
          </w:rPr>
          <w:t xml:space="preserve">https://doi.org/10.1371/journal.pone.0296485</w:t>
        </w:r>
      </w:hyperlink>
    </w:p>
    <w:bookmarkEnd w:id="57"/>
    <w:bookmarkStart w:id="59" w:name="ref-bruckner2001"/>
    <w:p>
      <w:pPr>
        <w:pStyle w:val="Bibliography"/>
      </w:pPr>
      <w:r>
        <w:t xml:space="preserve">Bruckner AW, Bruckner RJ (2001) Condition of restored</w:t>
      </w:r>
      <w:r>
        <w:t xml:space="preserve"> </w:t>
      </w:r>
      <w:r>
        <w:t xml:space="preserve">Acropora palmata</w:t>
      </w:r>
      <w:r>
        <w:t xml:space="preserve"> </w:t>
      </w:r>
      <w:r>
        <w:t xml:space="preserve">fragments off</w:t>
      </w:r>
      <w:r>
        <w:t xml:space="preserve"> </w:t>
      </w:r>
      <w:r>
        <w:t xml:space="preserve">Mona Island</w:t>
      </w:r>
      <w:r>
        <w:t xml:space="preserve">,</w:t>
      </w:r>
      <w:r>
        <w:t xml:space="preserve"> </w:t>
      </w:r>
      <w:r>
        <w:t xml:space="preserve">Puerto Rico</w:t>
      </w:r>
      <w:r>
        <w:t xml:space="preserve">, 2 years after the</w:t>
      </w:r>
      <w:r>
        <w:t xml:space="preserve"> </w:t>
      </w:r>
      <w:r>
        <w:t xml:space="preserve">Fortuna Reefer</w:t>
      </w:r>
      <w:r>
        <w:t xml:space="preserve"> </w:t>
      </w:r>
      <w:r>
        <w:t xml:space="preserve">ship grounding. Coral Reefs 20:235–243.</w:t>
      </w:r>
      <w:r>
        <w:t xml:space="preserve"> </w:t>
      </w:r>
      <w:hyperlink r:id="rId58">
        <w:r>
          <w:rPr>
            <w:rStyle w:val="Hyperlink"/>
          </w:rPr>
          <w:t xml:space="preserve">https://doi.org/10.1007/s003380100164</w:t>
        </w:r>
      </w:hyperlink>
    </w:p>
    <w:bookmarkEnd w:id="59"/>
    <w:bookmarkStart w:id="61" w:name="ref-chamberland2015"/>
    <w:p>
      <w:pPr>
        <w:pStyle w:val="Bibliography"/>
      </w:pPr>
      <w:r>
        <w:t xml:space="preserve">Chamberland VF, Vermeij MJA, Brittsan M, et al (2015) Restoration of critically endangered elkhorn coral (</w:t>
      </w:r>
      <w:r>
        <w:t xml:space="preserve">Acropora palmata</w:t>
      </w:r>
      <w:r>
        <w:t xml:space="preserve">) populations using larvae reared from wild-caught gametes. Global Ecology and Conservation 4:526–537.</w:t>
      </w:r>
      <w:r>
        <w:t xml:space="preserve"> </w:t>
      </w:r>
      <w:hyperlink r:id="rId60">
        <w:r>
          <w:rPr>
            <w:rStyle w:val="Hyperlink"/>
          </w:rPr>
          <w:t xml:space="preserve">https://doi.org/10.1016/j.gecco.2015.10.005</w:t>
        </w:r>
      </w:hyperlink>
    </w:p>
    <w:bookmarkEnd w:id="61"/>
    <w:bookmarkStart w:id="63" w:name="ref-detmer2025"/>
    <w:p>
      <w:pPr>
        <w:pStyle w:val="Bibliography"/>
      </w:pPr>
      <w:r>
        <w:t xml:space="preserve">Detmer AR, Ward EJ, Hunsicker ME, et al (2025) Evaluating the robustness of generalized additive models as a tool for threshold detection in variable environments. Ecosphere 16:e70117.</w:t>
      </w:r>
      <w:r>
        <w:t xml:space="preserve"> </w:t>
      </w:r>
      <w:hyperlink r:id="rId62">
        <w:r>
          <w:rPr>
            <w:rStyle w:val="Hyperlink"/>
          </w:rPr>
          <w:t xml:space="preserve">https://doi.org/10.1002/ecs2.70117</w:t>
        </w:r>
      </w:hyperlink>
    </w:p>
    <w:bookmarkEnd w:id="63"/>
    <w:bookmarkStart w:id="65" w:name="ref-edmundsriegl2020"/>
    <w:p>
      <w:pPr>
        <w:pStyle w:val="Bibliography"/>
      </w:pPr>
      <w:r>
        <w:t xml:space="preserve">Edmunds PJ, Riegl B (2020) Urgent need for coral demography in a world where corals are disappearing. Marine Ecology Progress Series 635:233–242.</w:t>
      </w:r>
      <w:r>
        <w:t xml:space="preserve"> </w:t>
      </w:r>
      <w:hyperlink r:id="rId64">
        <w:r>
          <w:rPr>
            <w:rStyle w:val="Hyperlink"/>
          </w:rPr>
          <w:t xml:space="preserve">https://doi.org/10.3354/meps13205</w:t>
        </w:r>
      </w:hyperlink>
    </w:p>
    <w:bookmarkEnd w:id="65"/>
    <w:bookmarkStart w:id="67" w:name="ref-forrester2013"/>
    <w:p>
      <w:pPr>
        <w:pStyle w:val="Bibliography"/>
      </w:pPr>
      <w:r>
        <w:t xml:space="preserve">Forrester GE, Ferguson MA, O’Connell-Rodwell CE, Jarecki LL (2014) Long-term survival and colony growth of</w:t>
      </w:r>
      <w:r>
        <w:t xml:space="preserve"> </w:t>
      </w:r>
      <w:r>
        <w:t xml:space="preserve">Acropora palmata</w:t>
      </w:r>
      <w:r>
        <w:t xml:space="preserve"> </w:t>
      </w:r>
      <w:r>
        <w:t xml:space="preserve">fragments transplanted by volunteers for restoration. Aquatic Conservation: Marine and Freshwater Ecosystems 24:81–91.</w:t>
      </w:r>
      <w:r>
        <w:t xml:space="preserve"> </w:t>
      </w:r>
      <w:hyperlink r:id="rId66">
        <w:r>
          <w:rPr>
            <w:rStyle w:val="Hyperlink"/>
          </w:rPr>
          <w:t xml:space="preserve">https://doi.org/10.1002/aqc.2374</w:t>
        </w:r>
      </w:hyperlink>
    </w:p>
    <w:bookmarkEnd w:id="67"/>
    <w:bookmarkStart w:id="69" w:name="ref-forrester2012"/>
    <w:p>
      <w:pPr>
        <w:pStyle w:val="Bibliography"/>
      </w:pPr>
      <w:r>
        <w:t xml:space="preserve">Forrester GE, Maynard A, Schofield S, Taylor K (2012) Evaluating causes of transplant stress in fragments of</w:t>
      </w:r>
      <w:r>
        <w:t xml:space="preserve"> </w:t>
      </w:r>
      <w:r>
        <w:t xml:space="preserve">Acropora palmata</w:t>
      </w:r>
      <w:r>
        <w:t xml:space="preserve"> </w:t>
      </w:r>
      <w:r>
        <w:t xml:space="preserve">used for coral reef restoration. Bulletin of Marine Science 88:1099–1113.</w:t>
      </w:r>
      <w:r>
        <w:t xml:space="preserve"> </w:t>
      </w:r>
      <w:hyperlink r:id="rId68">
        <w:r>
          <w:rPr>
            <w:rStyle w:val="Hyperlink"/>
          </w:rPr>
          <w:t xml:space="preserve">https://doi.org/10.5343/bms.2012.1016</w:t>
        </w:r>
      </w:hyperlink>
    </w:p>
    <w:bookmarkEnd w:id="69"/>
    <w:bookmarkStart w:id="71" w:name="ref-gardner2003"/>
    <w:p>
      <w:pPr>
        <w:pStyle w:val="Bibliography"/>
      </w:pPr>
      <w:r>
        <w:t xml:space="preserve">Gardner TA, Côté IM, Gill JA, et al (2003) Long-term region-wide declines in</w:t>
      </w:r>
      <w:r>
        <w:t xml:space="preserve"> </w:t>
      </w:r>
      <w:r>
        <w:t xml:space="preserve">Caribbean</w:t>
      </w:r>
      <w:r>
        <w:t xml:space="preserve"> </w:t>
      </w:r>
      <w:r>
        <w:t xml:space="preserve">corals. Science 301:958–960.</w:t>
      </w:r>
      <w:r>
        <w:t xml:space="preserve"> </w:t>
      </w:r>
      <w:hyperlink r:id="rId70">
        <w:r>
          <w:rPr>
            <w:rStyle w:val="Hyperlink"/>
          </w:rPr>
          <w:t xml:space="preserve">https://doi.org/10.1126/science.1086050</w:t>
        </w:r>
      </w:hyperlink>
    </w:p>
    <w:bookmarkEnd w:id="71"/>
    <w:bookmarkStart w:id="73" w:name="ref-garrison2008"/>
    <w:p>
      <w:pPr>
        <w:pStyle w:val="Bibliography"/>
      </w:pPr>
      <w:r>
        <w:t xml:space="preserve">Garrison V, Ward G (2008) Storm-generated coral fragments –</w:t>
      </w:r>
      <w:r>
        <w:t xml:space="preserve"> </w:t>
      </w:r>
      <w:r>
        <w:t xml:space="preserve">A</w:t>
      </w:r>
      <w:r>
        <w:t xml:space="preserve"> </w:t>
      </w:r>
      <w:r>
        <w:t xml:space="preserve">viable source of transplants for reef rehabilitation. Biological Conservation 141:3089–3100.</w:t>
      </w:r>
      <w:r>
        <w:t xml:space="preserve"> </w:t>
      </w:r>
      <w:hyperlink r:id="rId72">
        <w:r>
          <w:rPr>
            <w:rStyle w:val="Hyperlink"/>
          </w:rPr>
          <w:t xml:space="preserve">https://doi.org/10.1016/j.biocon.2008.09.020</w:t>
        </w:r>
      </w:hyperlink>
    </w:p>
    <w:bookmarkEnd w:id="73"/>
    <w:bookmarkStart w:id="74" w:name="ref-gladfelter1982"/>
    <w:p>
      <w:pPr>
        <w:pStyle w:val="Bibliography"/>
      </w:pPr>
      <w:r>
        <w:t xml:space="preserve">Gladfelter WB (1982) White-band disease in</w:t>
      </w:r>
      <w:r>
        <w:t xml:space="preserve"> </w:t>
      </w:r>
      <w:r>
        <w:t xml:space="preserve">Acropora palmata</w:t>
      </w:r>
      <w:r>
        <w:t xml:space="preserve">: Implications for the structure and growth of shallow reefs. Bulletin of Marine Science 32:639–643</w:t>
      </w:r>
    </w:p>
    <w:bookmarkEnd w:id="74"/>
    <w:bookmarkStart w:id="76" w:name="ref-groberdunsmore2006"/>
    <w:p>
      <w:pPr>
        <w:pStyle w:val="Bibliography"/>
      </w:pPr>
      <w:r>
        <w:t xml:space="preserve">Grober-Dunsmore R, Bonito V, Frazer TK (2006) Potential inhibitors to recovery of</w:t>
      </w:r>
      <w:r>
        <w:t xml:space="preserve"> </w:t>
      </w:r>
      <w:r>
        <w:t xml:space="preserve">Acropora palmata</w:t>
      </w:r>
      <w:r>
        <w:t xml:space="preserve"> </w:t>
      </w:r>
      <w:r>
        <w:t xml:space="preserve">populations in</w:t>
      </w:r>
      <w:r>
        <w:t xml:space="preserve"> </w:t>
      </w:r>
      <w:r>
        <w:t xml:space="preserve">St. John</w:t>
      </w:r>
      <w:r>
        <w:t xml:space="preserve">,</w:t>
      </w:r>
      <w:r>
        <w:t xml:space="preserve"> </w:t>
      </w:r>
      <w:r>
        <w:t xml:space="preserve">US Virgin Islands</w:t>
      </w:r>
      <w:r>
        <w:t xml:space="preserve">. Marine Ecology Progress Series 321:123–132.</w:t>
      </w:r>
      <w:r>
        <w:t xml:space="preserve"> </w:t>
      </w:r>
      <w:hyperlink r:id="rId75">
        <w:r>
          <w:rPr>
            <w:rStyle w:val="Hyperlink"/>
          </w:rPr>
          <w:t xml:space="preserve">https://doi.org/10.3354/meps321123</w:t>
        </w:r>
      </w:hyperlink>
    </w:p>
    <w:bookmarkEnd w:id="76"/>
    <w:bookmarkStart w:id="78" w:name="ref-groberdunsmore2007"/>
    <w:p>
      <w:pPr>
        <w:pStyle w:val="Bibliography"/>
      </w:pPr>
      <w:r>
        <w:t xml:space="preserve">Grober-Dunsmore R, Bonito V, Frazer TK (2007) Discernment of sexual recruits is not critical for assessing population recovery of</w:t>
      </w:r>
      <w:r>
        <w:t xml:space="preserve"> </w:t>
      </w:r>
      <w:r>
        <w:t xml:space="preserve">Acropora palmata</w:t>
      </w:r>
      <w:r>
        <w:t xml:space="preserve">. Marine Ecology Progress Series 335:233–237.</w:t>
      </w:r>
      <w:r>
        <w:t xml:space="preserve"> </w:t>
      </w:r>
      <w:hyperlink r:id="rId77">
        <w:r>
          <w:rPr>
            <w:rStyle w:val="Hyperlink"/>
          </w:rPr>
          <w:t xml:space="preserve">https://doi.org/10.3354/meps335233</w:t>
        </w:r>
      </w:hyperlink>
    </w:p>
    <w:bookmarkEnd w:id="78"/>
    <w:bookmarkStart w:id="79" w:name="ref-highsmith1982"/>
    <w:p>
      <w:pPr>
        <w:pStyle w:val="Bibliography"/>
      </w:pPr>
      <w:r>
        <w:t xml:space="preserve">Highsmith RC (1982) Reproduction by fragmentation in corals. Marine Ecology Progress Series 7:207–226</w:t>
      </w:r>
    </w:p>
    <w:bookmarkEnd w:id="79"/>
    <w:bookmarkStart w:id="80" w:name="ref-hughes1984"/>
    <w:p>
      <w:pPr>
        <w:pStyle w:val="Bibliography"/>
      </w:pPr>
      <w:r>
        <w:t xml:space="preserve">Hughes TP (1984) Population dynamics based on individual size rather than age: A general model with a reef coral example. The American Naturalist 123:778–795</w:t>
      </w:r>
    </w:p>
    <w:bookmarkEnd w:id="80"/>
    <w:bookmarkStart w:id="81" w:name="ref-hughesjackson1985"/>
    <w:p>
      <w:pPr>
        <w:pStyle w:val="Bibliography"/>
      </w:pPr>
      <w:r>
        <w:t xml:space="preserve">Hughes TP, Jackson JBC (1985) Population dynamics and life histories of foliaceous corals. Ecological Monographs 55:141–166</w:t>
      </w:r>
    </w:p>
    <w:bookmarkEnd w:id="81"/>
    <w:bookmarkStart w:id="83" w:name="ref-knapp2003"/>
    <w:p>
      <w:pPr>
        <w:pStyle w:val="Bibliography"/>
      </w:pPr>
      <w:r>
        <w:t xml:space="preserve">Knapp G, Hartung J (2003) Improved tests for a random effects meta-regression with a single covariate. Statistics in Medicine 22:2693–2710.</w:t>
      </w:r>
      <w:r>
        <w:t xml:space="preserve"> </w:t>
      </w:r>
      <w:hyperlink r:id="rId82">
        <w:r>
          <w:rPr>
            <w:rStyle w:val="Hyperlink"/>
          </w:rPr>
          <w:t xml:space="preserve">https://doi.org/10.1002/sim.1482</w:t>
        </w:r>
      </w:hyperlink>
    </w:p>
    <w:bookmarkEnd w:id="83"/>
    <w:bookmarkStart w:id="85" w:name="ref-kuffner2020"/>
    <w:p>
      <w:pPr>
        <w:pStyle w:val="Bibliography"/>
      </w:pPr>
      <w:r>
        <w:t xml:space="preserve">Kuffner IB, Stathakopoulos A, Toth LT, Bartlett LA (2020) Reestablishing a stepping-stone population of the threatened elkhorn coral</w:t>
      </w:r>
      <w:r>
        <w:t xml:space="preserve"> </w:t>
      </w:r>
      <w:r>
        <w:t xml:space="preserve">Acropora palmata</w:t>
      </w:r>
      <w:r>
        <w:t xml:space="preserve"> </w:t>
      </w:r>
      <w:r>
        <w:t xml:space="preserve">to aid regional recovery. Endangered Species Research 43:461–473.</w:t>
      </w:r>
      <w:r>
        <w:t xml:space="preserve"> </w:t>
      </w:r>
      <w:hyperlink r:id="rId84">
        <w:r>
          <w:rPr>
            <w:rStyle w:val="Hyperlink"/>
          </w:rPr>
          <w:t xml:space="preserve">https://doi.org/10.3354/esr01083</w:t>
        </w:r>
      </w:hyperlink>
    </w:p>
    <w:bookmarkEnd w:id="85"/>
    <w:bookmarkStart w:id="87" w:name="ref-lentz2011"/>
    <w:p>
      <w:pPr>
        <w:pStyle w:val="Bibliography"/>
      </w:pPr>
      <w:r>
        <w:t xml:space="preserve">Lentz JA, Blackburn JK, Curtis AJ (2011) Evaluating patterns of a white-band disease outbreak in</w:t>
      </w:r>
      <w:r>
        <w:t xml:space="preserve"> </w:t>
      </w:r>
      <w:r>
        <w:t xml:space="preserve">Acropora palmata</w:t>
      </w:r>
      <w:r>
        <w:t xml:space="preserve"> </w:t>
      </w:r>
      <w:r>
        <w:t xml:space="preserve">using spatial analysis:</w:t>
      </w:r>
      <w:r>
        <w:t xml:space="preserve"> </w:t>
      </w:r>
      <w:r>
        <w:t xml:space="preserve">A</w:t>
      </w:r>
      <w:r>
        <w:t xml:space="preserve"> </w:t>
      </w:r>
      <w:r>
        <w:t xml:space="preserve">comparison of transect and colony clustering. PLoS ONE 6:e21830.</w:t>
      </w:r>
      <w:r>
        <w:t xml:space="preserve"> </w:t>
      </w:r>
      <w:hyperlink r:id="rId86">
        <w:r>
          <w:rPr>
            <w:rStyle w:val="Hyperlink"/>
          </w:rPr>
          <w:t xml:space="preserve">https://doi.org/10.1371/journal.pone.0021830</w:t>
        </w:r>
      </w:hyperlink>
    </w:p>
    <w:bookmarkEnd w:id="87"/>
    <w:bookmarkStart w:id="88" w:name="ref-lirman2000"/>
    <w:p>
      <w:pPr>
        <w:pStyle w:val="Bibliography"/>
      </w:pPr>
      <w:r>
        <w:t xml:space="preserve">Lirman D (2000) Fragmentation in the branching coral</w:t>
      </w:r>
      <w:r>
        <w:t xml:space="preserve"> </w:t>
      </w:r>
      <w:r>
        <w:t xml:space="preserve">Acropora palmata</w:t>
      </w:r>
      <w:r>
        <w:t xml:space="preserve"> </w:t>
      </w:r>
      <w:r>
        <w:t xml:space="preserve">(</w:t>
      </w:r>
      <w:r>
        <w:t xml:space="preserve">Lamarck</w:t>
      </w:r>
      <w:r>
        <w:t xml:space="preserve">): Growth, survivorship, and reproduction of colonies and fragments. Journal of Experimental Marine Biology and Ecology 251:41–57</w:t>
      </w:r>
    </w:p>
    <w:bookmarkEnd w:id="88"/>
    <w:bookmarkStart w:id="90" w:name="ref-lirman2003"/>
    <w:p>
      <w:pPr>
        <w:pStyle w:val="Bibliography"/>
      </w:pPr>
      <w:r>
        <w:t xml:space="preserve">Lirman D (2003) A simulation model of the population dynamics of the branching coral</w:t>
      </w:r>
      <w:r>
        <w:t xml:space="preserve"> </w:t>
      </w:r>
      <w:r>
        <w:t xml:space="preserve">Acropora palmata</w:t>
      </w:r>
      <w:r>
        <w:t xml:space="preserve">: Effects of storm intensity and frequency. Ecological Modelling 161:169–182.</w:t>
      </w:r>
      <w:r>
        <w:t xml:space="preserve"> </w:t>
      </w:r>
      <w:hyperlink r:id="rId89">
        <w:r>
          <w:rPr>
            <w:rStyle w:val="Hyperlink"/>
          </w:rPr>
          <w:t xml:space="preserve">https://doi.org/10.1016/S0304-3800(02)00346-0</w:t>
        </w:r>
      </w:hyperlink>
    </w:p>
    <w:bookmarkEnd w:id="90"/>
    <w:bookmarkStart w:id="91" w:name="ref-lirman1997"/>
    <w:p>
      <w:pPr>
        <w:pStyle w:val="Bibliography"/>
      </w:pPr>
      <w:r>
        <w:t xml:space="preserve">Lirman D, Fong P (1997) Patterns of damage to the branching coral</w:t>
      </w:r>
      <w:r>
        <w:t xml:space="preserve"> </w:t>
      </w:r>
      <w:r>
        <w:t xml:space="preserve">Acropora palmata</w:t>
      </w:r>
      <w:r>
        <w:t xml:space="preserve"> </w:t>
      </w:r>
      <w:r>
        <w:t xml:space="preserve">following</w:t>
      </w:r>
      <w:r>
        <w:t xml:space="preserve"> </w:t>
      </w:r>
      <w:r>
        <w:t xml:space="preserve">Hurricane Andrew</w:t>
      </w:r>
      <w:r>
        <w:t xml:space="preserve">: Damage and survivorship of hurricane-generated asexual recruits. Journal of Coastal Research 13:67–72</w:t>
      </w:r>
    </w:p>
    <w:bookmarkEnd w:id="91"/>
    <w:bookmarkStart w:id="93" w:name="ref-madin2020"/>
    <w:p>
      <w:pPr>
        <w:pStyle w:val="Bibliography"/>
      </w:pPr>
      <w:r>
        <w:t xml:space="preserve">Madin JS, Baird AH, Baskett ML, et al (2020) Partitioning colony size variation into growth and partial mortality. Biology Letters 16:20190727.</w:t>
      </w:r>
      <w:r>
        <w:t xml:space="preserve"> </w:t>
      </w:r>
      <w:hyperlink r:id="rId92">
        <w:r>
          <w:rPr>
            <w:rStyle w:val="Hyperlink"/>
          </w:rPr>
          <w:t xml:space="preserve">https://doi.org/10.1098/rsbl.2019.0727</w:t>
        </w:r>
      </w:hyperlink>
    </w:p>
    <w:bookmarkEnd w:id="93"/>
    <w:bookmarkStart w:id="95" w:name="ref-madin2014"/>
    <w:p>
      <w:pPr>
        <w:pStyle w:val="Bibliography"/>
      </w:pPr>
      <w:r>
        <w:t xml:space="preserve">Madin JS, Baird AH, Dornelas M, Connolly SR (2014) Mechanical vulnerability explains size-dependent mortality of reef corals. Ecology Letters 17:1008–1015.</w:t>
      </w:r>
      <w:r>
        <w:t xml:space="preserve"> </w:t>
      </w:r>
      <w:hyperlink r:id="rId94">
        <w:r>
          <w:rPr>
            <w:rStyle w:val="Hyperlink"/>
          </w:rPr>
          <w:t xml:space="preserve">https://doi.org/10.1111/ele.12306</w:t>
        </w:r>
      </w:hyperlink>
    </w:p>
    <w:bookmarkEnd w:id="95"/>
    <w:bookmarkStart w:id="97" w:name="ref-madin2025"/>
    <w:p>
      <w:pPr>
        <w:pStyle w:val="Bibliography"/>
      </w:pPr>
      <w:r>
        <w:t xml:space="preserve">Madin JS, Oliver T, McWilliam M, et al (2025)</w:t>
      </w:r>
      <w:r>
        <w:t xml:space="preserve"> </w:t>
      </w:r>
      <w:hyperlink r:id="rId96">
        <w:r>
          <w:rPr>
            <w:rStyle w:val="Hyperlink"/>
          </w:rPr>
          <w:t xml:space="preserve">Demographic insights for coral restoration</w:t>
        </w:r>
      </w:hyperlink>
    </w:p>
    <w:bookmarkEnd w:id="97"/>
    <w:bookmarkStart w:id="99" w:name="ref-manzello2025"/>
    <w:p>
      <w:pPr>
        <w:pStyle w:val="Bibliography"/>
      </w:pPr>
      <w:r>
        <w:t xml:space="preserve">Manzello DP, Cunning R, Karp RF, et al (2025) Heat-driven functional extinction of</w:t>
      </w:r>
      <w:r>
        <w:t xml:space="preserve"> </w:t>
      </w:r>
      <w:r>
        <w:t xml:space="preserve">Caribbean</w:t>
      </w:r>
      <w:r>
        <w:t xml:space="preserve"> </w:t>
      </w:r>
      <w:r>
        <w:t xml:space="preserve">Acropora</w:t>
      </w:r>
      <w:r>
        <w:t xml:space="preserve"> </w:t>
      </w:r>
      <w:r>
        <w:t xml:space="preserve">corals from</w:t>
      </w:r>
      <w:r>
        <w:t xml:space="preserve"> </w:t>
      </w:r>
      <w:r>
        <w:t xml:space="preserve">Florida</w:t>
      </w:r>
      <w:r>
        <w:t xml:space="preserve">’s</w:t>
      </w:r>
      <w:r>
        <w:t xml:space="preserve"> </w:t>
      </w:r>
      <w:r>
        <w:t xml:space="preserve">Coral Reef</w:t>
      </w:r>
      <w:r>
        <w:t xml:space="preserve">. Science 390:361–366.</w:t>
      </w:r>
      <w:r>
        <w:t xml:space="preserve"> </w:t>
      </w:r>
      <w:hyperlink r:id="rId98">
        <w:r>
          <w:rPr>
            <w:rStyle w:val="Hyperlink"/>
          </w:rPr>
          <w:t xml:space="preserve">https://doi.org/10.1126/science.adx7825</w:t>
        </w:r>
      </w:hyperlink>
    </w:p>
    <w:bookmarkEnd w:id="99"/>
    <w:bookmarkStart w:id="101" w:name="ref-maurer2022"/>
    <w:p>
      <w:pPr>
        <w:pStyle w:val="Bibliography"/>
      </w:pPr>
      <w:r>
        <w:t xml:space="preserve">Maurer L, Puishys L, Ho NKP, et al (2022)</w:t>
      </w:r>
      <w:r>
        <w:t xml:space="preserve"> </w:t>
      </w:r>
      <w:r>
        <w:t xml:space="preserve">Acropora cervicornis</w:t>
      </w:r>
      <w:r>
        <w:t xml:space="preserve"> </w:t>
      </w:r>
      <w:r>
        <w:t xml:space="preserve">and</w:t>
      </w:r>
      <w:r>
        <w:t xml:space="preserve"> </w:t>
      </w:r>
      <w:r>
        <w:t xml:space="preserve">Acropora palmata</w:t>
      </w:r>
      <w:r>
        <w:t xml:space="preserve"> </w:t>
      </w:r>
      <w:r>
        <w:t xml:space="preserve">cultured on a low maintenance line nursery design in</w:t>
      </w:r>
      <w:r>
        <w:t xml:space="preserve"> </w:t>
      </w:r>
      <w:r>
        <w:t xml:space="preserve">The Bahamas</w:t>
      </w:r>
      <w:r>
        <w:t xml:space="preserve">. PLoS ONE 17:e0267034.</w:t>
      </w:r>
      <w:r>
        <w:t xml:space="preserve"> </w:t>
      </w:r>
      <w:hyperlink r:id="rId100">
        <w:r>
          <w:rPr>
            <w:rStyle w:val="Hyperlink"/>
          </w:rPr>
          <w:t xml:space="preserve">https://doi.org/10.1371/journal.pone.0267034</w:t>
        </w:r>
      </w:hyperlink>
    </w:p>
    <w:bookmarkEnd w:id="101"/>
    <w:bookmarkStart w:id="103" w:name="ref-mendozaquiroz2023"/>
    <w:p>
      <w:pPr>
        <w:pStyle w:val="Bibliography"/>
      </w:pPr>
      <w:r>
        <w:t xml:space="preserve">Mendoza Quiroz S, Beltrán-Torres AU, Grosso-Becerra MV, et al (2023) Long-term survival, growth, and reproduction of</w:t>
      </w:r>
      <w:r>
        <w:t xml:space="preserve"> </w:t>
      </w:r>
      <w:r>
        <w:t xml:space="preserve">Acropora palmata</w:t>
      </w:r>
      <w:r>
        <w:t xml:space="preserve"> </w:t>
      </w:r>
      <w:r>
        <w:t xml:space="preserve">sexual recruits outplanted onto</w:t>
      </w:r>
      <w:r>
        <w:t xml:space="preserve"> </w:t>
      </w:r>
      <w:r>
        <w:t xml:space="preserve">Mexican Caribbean</w:t>
      </w:r>
      <w:r>
        <w:t xml:space="preserve"> </w:t>
      </w:r>
      <w:r>
        <w:t xml:space="preserve">reefs. PeerJ 11:e15813.</w:t>
      </w:r>
      <w:r>
        <w:t xml:space="preserve"> </w:t>
      </w:r>
      <w:hyperlink r:id="rId102">
        <w:r>
          <w:rPr>
            <w:rStyle w:val="Hyperlink"/>
          </w:rPr>
          <w:t xml:space="preserve">https://doi.org/10.7717/peerj.15813</w:t>
        </w:r>
      </w:hyperlink>
    </w:p>
    <w:bookmarkEnd w:id="103"/>
    <w:bookmarkStart w:id="105" w:name="ref-neely2022"/>
    <w:p>
      <w:pPr>
        <w:pStyle w:val="Bibliography"/>
      </w:pPr>
      <w:r>
        <w:t xml:space="preserve">Neely KL, Macaulay KA, Lunz KS (2022) Population trajectory and stressors of</w:t>
      </w:r>
      <w:r>
        <w:t xml:space="preserve"> </w:t>
      </w:r>
      <w:r>
        <w:t xml:space="preserve">Acropora palmata</w:t>
      </w:r>
      <w:r>
        <w:t xml:space="preserve"> </w:t>
      </w:r>
      <w:r>
        <w:t xml:space="preserve">sites in the</w:t>
      </w:r>
      <w:r>
        <w:t xml:space="preserve"> </w:t>
      </w:r>
      <w:r>
        <w:t xml:space="preserve">Florida Keys</w:t>
      </w:r>
      <w:r>
        <w:t xml:space="preserve">. Frontiers in Marine Science 9:978785.</w:t>
      </w:r>
      <w:r>
        <w:t xml:space="preserve"> </w:t>
      </w:r>
      <w:hyperlink r:id="rId104">
        <w:r>
          <w:rPr>
            <w:rStyle w:val="Hyperlink"/>
          </w:rPr>
          <w:t xml:space="preserve">https://doi.org/10.3389/fmars.2022.978785</w:t>
        </w:r>
      </w:hyperlink>
    </w:p>
    <w:bookmarkEnd w:id="105"/>
    <w:bookmarkStart w:id="106" w:name="ref-ortizprosper2005"/>
    <w:p>
      <w:pPr>
        <w:pStyle w:val="Bibliography"/>
      </w:pPr>
      <w:r>
        <w:t xml:space="preserve">Ortiz Prosper AL (2005) Population dynamics of hurricane-generated fragments of elkhorn coral</w:t>
      </w:r>
      <w:r>
        <w:t xml:space="preserve"> </w:t>
      </w:r>
      <w:r>
        <w:t xml:space="preserve">Acropora palmata</w:t>
      </w:r>
      <w:r>
        <w:t xml:space="preserve"> </w:t>
      </w:r>
      <w:r>
        <w:t xml:space="preserve">(</w:t>
      </w:r>
      <w:r>
        <w:t xml:space="preserve">Lamarck</w:t>
      </w:r>
      <w:r>
        <w:t xml:space="preserve">, 1816). {PhD} dissertation, University of Puerto Rico, Mayag</w:t>
      </w:r>
      <w:r>
        <w:t xml:space="preserve">ü</w:t>
      </w:r>
      <w:r>
        <w:t xml:space="preserve">ez</w:t>
      </w:r>
    </w:p>
    <w:bookmarkEnd w:id="106"/>
    <w:bookmarkStart w:id="108" w:name="ref-pausch2018"/>
    <w:p>
      <w:pPr>
        <w:pStyle w:val="Bibliography"/>
      </w:pPr>
      <w:r>
        <w:t xml:space="preserve">Pausch RE, Williams DE, Miller MW (2018) Impacts of fragment genotype, habitat, and size on outplanted elkhorn coral success under thermal stress. Marine Ecology Progress Series 592:109–117.</w:t>
      </w:r>
      <w:r>
        <w:t xml:space="preserve"> </w:t>
      </w:r>
      <w:hyperlink r:id="rId107">
        <w:r>
          <w:rPr>
            <w:rStyle w:val="Hyperlink"/>
          </w:rPr>
          <w:t xml:space="preserve">https://doi.org/10.3354/meps12488</w:t>
        </w:r>
      </w:hyperlink>
    </w:p>
    <w:bookmarkEnd w:id="108"/>
    <w:bookmarkStart w:id="110" w:name="ref-pinongonzalez2018"/>
    <w:p>
      <w:pPr>
        <w:pStyle w:val="Bibliography"/>
      </w:pPr>
      <w:r>
        <w:t xml:space="preserve">Piñón-González VM, Banaszak AT (2018) Effects of partial mortality on growth, reproduction and total lipid content in the elkhorn coral</w:t>
      </w:r>
      <w:r>
        <w:t xml:space="preserve"> </w:t>
      </w:r>
      <w:r>
        <w:t xml:space="preserve">Acropora palmata</w:t>
      </w:r>
      <w:r>
        <w:t xml:space="preserve">. Frontiers in Marine Science 5:396.</w:t>
      </w:r>
      <w:r>
        <w:t xml:space="preserve"> </w:t>
      </w:r>
      <w:hyperlink r:id="rId109">
        <w:r>
          <w:rPr>
            <w:rStyle w:val="Hyperlink"/>
          </w:rPr>
          <w:t xml:space="preserve">https://doi.org/10.3389/fmars.2018.00396</w:t>
        </w:r>
      </w:hyperlink>
    </w:p>
    <w:bookmarkEnd w:id="110"/>
    <w:bookmarkStart w:id="112" w:name="ref-ramosromero2025"/>
    <w:p>
      <w:pPr>
        <w:pStyle w:val="Bibliography"/>
      </w:pPr>
      <w:r>
        <w:t xml:space="preserve">Ramos Romero A, González-Díaz P, Aguilera Pérez G, Banaszak AT (2025) Does reef crest zone selection influence</w:t>
      </w:r>
      <w:r>
        <w:t xml:space="preserve"> </w:t>
      </w:r>
      <w:r>
        <w:t xml:space="preserve">Acropora palmata</w:t>
      </w:r>
      <w:r>
        <w:t xml:space="preserve"> </w:t>
      </w:r>
      <w:r>
        <w:t xml:space="preserve">(</w:t>
      </w:r>
      <w:r>
        <w:t xml:space="preserve">Lamarck</w:t>
      </w:r>
      <w:r>
        <w:t xml:space="preserve">, 1816) fragment survival and growth? PeerJ 13:e20303.</w:t>
      </w:r>
      <w:r>
        <w:t xml:space="preserve"> </w:t>
      </w:r>
      <w:hyperlink r:id="rId111">
        <w:r>
          <w:rPr>
            <w:rStyle w:val="Hyperlink"/>
          </w:rPr>
          <w:t xml:space="preserve">https://doi.org/10.7717/peerj.20303</w:t>
        </w:r>
      </w:hyperlink>
    </w:p>
    <w:bookmarkEnd w:id="112"/>
    <w:bookmarkStart w:id="114" w:name="ref-randall2009"/>
    <w:p>
      <w:pPr>
        <w:pStyle w:val="Bibliography"/>
      </w:pPr>
      <w:r>
        <w:t xml:space="preserve">Randall CJ, Szmant AM (2009) Elevated temperature affects development, survivorship, and settlement of the elkhorn coral,</w:t>
      </w:r>
      <w:r>
        <w:t xml:space="preserve"> </w:t>
      </w:r>
      <w:r>
        <w:t xml:space="preserve">Acropora palmata</w:t>
      </w:r>
      <w:r>
        <w:t xml:space="preserve"> </w:t>
      </w:r>
      <w:r>
        <w:t xml:space="preserve">(</w:t>
      </w:r>
      <w:r>
        <w:t xml:space="preserve">Lamarck</w:t>
      </w:r>
      <w:r>
        <w:t xml:space="preserve"> </w:t>
      </w:r>
      <w:r>
        <w:t xml:space="preserve">1816). The Biological Bulletin 217:269–282.</w:t>
      </w:r>
      <w:r>
        <w:t xml:space="preserve"> </w:t>
      </w:r>
      <w:hyperlink r:id="rId113">
        <w:r>
          <w:rPr>
            <w:rStyle w:val="Hyperlink"/>
          </w:rPr>
          <w:t xml:space="preserve">https://doi.org/10.1086/BBLv217n3p269</w:t>
        </w:r>
      </w:hyperlink>
    </w:p>
    <w:bookmarkEnd w:id="114"/>
    <w:bookmarkStart w:id="116" w:name="ref-ritsonwilliams2020"/>
    <w:p>
      <w:pPr>
        <w:pStyle w:val="Bibliography"/>
      </w:pPr>
      <w:r>
        <w:t xml:space="preserve">Ritson-Williams R, Arnold SN, Paul VJ (2020) The impact of macroalgae and cyanobacteria on larval survival and settlement of the scleractinian corals</w:t>
      </w:r>
      <w:r>
        <w:t xml:space="preserve"> </w:t>
      </w:r>
      <w:r>
        <w:t xml:space="preserve">Acropora palmata</w:t>
      </w:r>
      <w:r>
        <w:t xml:space="preserve">,</w:t>
      </w:r>
      <w:r>
        <w:t xml:space="preserve"> </w:t>
      </w:r>
      <w:r>
        <w:t xml:space="preserve">A. cervicornis</w:t>
      </w:r>
      <w:r>
        <w:t xml:space="preserve"> </w:t>
      </w:r>
      <w:r>
        <w:t xml:space="preserve">and</w:t>
      </w:r>
      <w:r>
        <w:t xml:space="preserve"> </w:t>
      </w:r>
      <w:r>
        <w:t xml:space="preserve">Pseudodiploria strigosa</w:t>
      </w:r>
      <w:r>
        <w:t xml:space="preserve">. Marine Biology 167:31.</w:t>
      </w:r>
      <w:r>
        <w:t xml:space="preserve"> </w:t>
      </w:r>
      <w:hyperlink r:id="rId115">
        <w:r>
          <w:rPr>
            <w:rStyle w:val="Hyperlink"/>
          </w:rPr>
          <w:t xml:space="preserve">https://doi.org/10.1007/s00227-019-3639-5</w:t>
        </w:r>
      </w:hyperlink>
    </w:p>
    <w:bookmarkEnd w:id="116"/>
    <w:bookmarkStart w:id="118" w:name="ref-ritsonwilliams2013"/>
    <w:p>
      <w:pPr>
        <w:pStyle w:val="Bibliography"/>
      </w:pPr>
      <w:r>
        <w:t xml:space="preserve">Ritson-Williams R, Arnold SN, Paul VJ, Steneck RS (2014) Larval settlement preferences of</w:t>
      </w:r>
      <w:r>
        <w:t xml:space="preserve"> </w:t>
      </w:r>
      <w:r>
        <w:t xml:space="preserve">Acropora palmata</w:t>
      </w:r>
      <w:r>
        <w:t xml:space="preserve"> </w:t>
      </w:r>
      <w:r>
        <w:t xml:space="preserve">and</w:t>
      </w:r>
      <w:r>
        <w:t xml:space="preserve"> </w:t>
      </w:r>
      <w:r>
        <w:t xml:space="preserve">Montastraea faveolata</w:t>
      </w:r>
      <w:r>
        <w:t xml:space="preserve"> </w:t>
      </w:r>
      <w:r>
        <w:t xml:space="preserve">in response to diverse red algae. Coral Reefs 33:59–66.</w:t>
      </w:r>
      <w:r>
        <w:t xml:space="preserve"> </w:t>
      </w:r>
      <w:hyperlink r:id="rId117">
        <w:r>
          <w:rPr>
            <w:rStyle w:val="Hyperlink"/>
          </w:rPr>
          <w:t xml:space="preserve">https://doi.org/10.1007/s00338-013-1113-2</w:t>
        </w:r>
      </w:hyperlink>
    </w:p>
    <w:bookmarkEnd w:id="118"/>
    <w:bookmarkStart w:id="120" w:name="ref-rogersmuller2012"/>
    <w:p>
      <w:pPr>
        <w:pStyle w:val="Bibliography"/>
      </w:pPr>
      <w:r>
        <w:t xml:space="preserve">Rogers CS, Muller EM (2012) Bleaching, disease and recovery in the threatened scleractinian coral</w:t>
      </w:r>
      <w:r>
        <w:t xml:space="preserve"> </w:t>
      </w:r>
      <w:r>
        <w:t xml:space="preserve">Acropora palmata</w:t>
      </w:r>
      <w:r>
        <w:t xml:space="preserve"> </w:t>
      </w:r>
      <w:r>
        <w:t xml:space="preserve">in</w:t>
      </w:r>
      <w:r>
        <w:t xml:space="preserve"> </w:t>
      </w:r>
      <w:r>
        <w:t xml:space="preserve">St. John</w:t>
      </w:r>
      <w:r>
        <w:t xml:space="preserve">,</w:t>
      </w:r>
      <w:r>
        <w:t xml:space="preserve"> </w:t>
      </w:r>
      <w:r>
        <w:t xml:space="preserve">US Virgin Islands</w:t>
      </w:r>
      <w:r>
        <w:t xml:space="preserve">: 2003–2010. Coral Reefs 31:807–819.</w:t>
      </w:r>
      <w:r>
        <w:t xml:space="preserve"> </w:t>
      </w:r>
      <w:hyperlink r:id="rId119">
        <w:r>
          <w:rPr>
            <w:rStyle w:val="Hyperlink"/>
          </w:rPr>
          <w:t xml:space="preserve">https://doi.org/10.1007/s00338-012-0898-8</w:t>
        </w:r>
      </w:hyperlink>
    </w:p>
    <w:bookmarkEnd w:id="120"/>
    <w:bookmarkStart w:id="121" w:name="ref-rogers1982"/>
    <w:p>
      <w:pPr>
        <w:pStyle w:val="Bibliography"/>
      </w:pPr>
      <w:r>
        <w:t xml:space="preserve">Rogers CS, Suchanek TH, Pecora FA (1982) Effects of</w:t>
      </w:r>
      <w:r>
        <w:t xml:space="preserve"> </w:t>
      </w:r>
      <w:r>
        <w:t xml:space="preserve">Hurricanes David</w:t>
      </w:r>
      <w:r>
        <w:t xml:space="preserve"> </w:t>
      </w:r>
      <w:r>
        <w:t xml:space="preserve">and</w:t>
      </w:r>
      <w:r>
        <w:t xml:space="preserve"> </w:t>
      </w:r>
      <w:r>
        <w:t xml:space="preserve">Frederic</w:t>
      </w:r>
      <w:r>
        <w:t xml:space="preserve"> </w:t>
      </w:r>
      <w:r>
        <w:t xml:space="preserve">(1979) on shallow</w:t>
      </w:r>
      <w:r>
        <w:t xml:space="preserve"> </w:t>
      </w:r>
      <w:r>
        <w:t xml:space="preserve">Acropora palmata</w:t>
      </w:r>
      <w:r>
        <w:t xml:space="preserve"> </w:t>
      </w:r>
      <w:r>
        <w:t xml:space="preserve">reef communities:</w:t>
      </w:r>
      <w:r>
        <w:t xml:space="preserve"> </w:t>
      </w:r>
      <w:r>
        <w:t xml:space="preserve">St. Croix</w:t>
      </w:r>
      <w:r>
        <w:t xml:space="preserve">,</w:t>
      </w:r>
      <w:r>
        <w:t xml:space="preserve"> </w:t>
      </w:r>
      <w:r>
        <w:t xml:space="preserve">U.S. Virgin Islands</w:t>
      </w:r>
      <w:r>
        <w:t xml:space="preserve">. Bulletin of Marine Science 32:532–548</w:t>
      </w:r>
    </w:p>
    <w:bookmarkEnd w:id="121"/>
    <w:bookmarkStart w:id="123" w:name="ref-rosales2024"/>
    <w:p>
      <w:pPr>
        <w:pStyle w:val="Bibliography"/>
      </w:pPr>
      <w:r>
        <w:t xml:space="preserve">Rosales SM, Young BD, Bright AJ, et al (2024) Reef site and habitat influence effectiveness of</w:t>
      </w:r>
      <w:r>
        <w:t xml:space="preserve"> </w:t>
      </w:r>
      <w:r>
        <w:t xml:space="preserve">Acropora palmata</w:t>
      </w:r>
      <w:r>
        <w:t xml:space="preserve"> </w:t>
      </w:r>
      <w:r>
        <w:t xml:space="preserve">restoration and its microbiome in the</w:t>
      </w:r>
      <w:r>
        <w:t xml:space="preserve"> </w:t>
      </w:r>
      <w:r>
        <w:t xml:space="preserve">Florida Keys</w:t>
      </w:r>
      <w:r>
        <w:t xml:space="preserve">. Communications Earth &amp; Environment 5:689.</w:t>
      </w:r>
      <w:r>
        <w:t xml:space="preserve"> </w:t>
      </w:r>
      <w:hyperlink r:id="rId122">
        <w:r>
          <w:rPr>
            <w:rStyle w:val="Hyperlink"/>
          </w:rPr>
          <w:t xml:space="preserve">https://doi.org/10.1038/s43247-024-01816-7</w:t>
        </w:r>
      </w:hyperlink>
    </w:p>
    <w:bookmarkEnd w:id="123"/>
    <w:bookmarkStart w:id="125" w:name="ref-schopmeyer2017"/>
    <w:p>
      <w:pPr>
        <w:pStyle w:val="Bibliography"/>
      </w:pPr>
      <w:r>
        <w:t xml:space="preserve">Schopmeyer SA, Lirman D, Bartels E, et al (2017) Regional restoration benchmarks for</w:t>
      </w:r>
      <w:r>
        <w:t xml:space="preserve"> </w:t>
      </w:r>
      <w:r>
        <w:t xml:space="preserve">Acropora cervicornis</w:t>
      </w:r>
      <w:r>
        <w:t xml:space="preserve">. Coral Reefs 36:1047–1057.</w:t>
      </w:r>
      <w:r>
        <w:t xml:space="preserve"> </w:t>
      </w:r>
      <w:hyperlink r:id="rId124">
        <w:r>
          <w:rPr>
            <w:rStyle w:val="Hyperlink"/>
          </w:rPr>
          <w:t xml:space="preserve">https://doi.org/10.1007/s00338-017-1596-3</w:t>
        </w:r>
      </w:hyperlink>
    </w:p>
    <w:bookmarkEnd w:id="125"/>
    <w:bookmarkStart w:id="126" w:name="ref-vardi2011"/>
    <w:p>
      <w:pPr>
        <w:pStyle w:val="Bibliography"/>
      </w:pPr>
      <w:r>
        <w:t xml:space="preserve">Vardi T (2011) The threatened</w:t>
      </w:r>
      <w:r>
        <w:t xml:space="preserve"> </w:t>
      </w:r>
      <w:r>
        <w:t xml:space="preserve">Atlantic</w:t>
      </w:r>
      <w:r>
        <w:t xml:space="preserve"> </w:t>
      </w:r>
      <w:r>
        <w:t xml:space="preserve">elkhorn coral,</w:t>
      </w:r>
      <w:r>
        <w:t xml:space="preserve"> </w:t>
      </w:r>
      <w:r>
        <w:t xml:space="preserve">Acropora palmata</w:t>
      </w:r>
      <w:r>
        <w:t xml:space="preserve">: Population dynamics and their policy implications. {PhD} dissertation, University of California, San Diego</w:t>
      </w:r>
    </w:p>
    <w:bookmarkEnd w:id="126"/>
    <w:bookmarkStart w:id="128" w:name="ref-vardi2012"/>
    <w:p>
      <w:pPr>
        <w:pStyle w:val="Bibliography"/>
      </w:pPr>
      <w:r>
        <w:t xml:space="preserve">Vardi T, Williams DE, Sandin SA (2012) Population dynamics of threatened elkhorn coral in the northern</w:t>
      </w:r>
      <w:r>
        <w:t xml:space="preserve"> </w:t>
      </w:r>
      <w:r>
        <w:t xml:space="preserve">Florida Keys</w:t>
      </w:r>
      <w:r>
        <w:t xml:space="preserve">,</w:t>
      </w:r>
      <w:r>
        <w:t xml:space="preserve"> </w:t>
      </w:r>
      <w:r>
        <w:t xml:space="preserve">USA</w:t>
      </w:r>
      <w:r>
        <w:t xml:space="preserve">. Endangered Species Research 19:157–169.</w:t>
      </w:r>
      <w:r>
        <w:t xml:space="preserve"> </w:t>
      </w:r>
      <w:hyperlink r:id="rId127">
        <w:r>
          <w:rPr>
            <w:rStyle w:val="Hyperlink"/>
          </w:rPr>
          <w:t xml:space="preserve">https://doi.org/10.3354/esr00475</w:t>
        </w:r>
      </w:hyperlink>
    </w:p>
    <w:bookmarkEnd w:id="128"/>
    <w:bookmarkStart w:id="130" w:name="ref-viechtbauer2010"/>
    <w:p>
      <w:pPr>
        <w:pStyle w:val="Bibliography"/>
      </w:pPr>
      <w:r>
        <w:t xml:space="preserve">Viechtbauer W (2010) Conducting meta-analyses in</w:t>
      </w:r>
      <w:r>
        <w:t xml:space="preserve"> </w:t>
      </w:r>
      <w:r>
        <w:t xml:space="preserve">R</w:t>
      </w:r>
      <w:r>
        <w:t xml:space="preserve"> </w:t>
      </w:r>
      <w:r>
        <w:t xml:space="preserve">with the metafor package. Journal of Statistical Software 36:1–48.</w:t>
      </w:r>
      <w:r>
        <w:t xml:space="preserve"> </w:t>
      </w:r>
      <w:hyperlink r:id="rId129">
        <w:r>
          <w:rPr>
            <w:rStyle w:val="Hyperlink"/>
          </w:rPr>
          <w:t xml:space="preserve">https://doi.org/10.18637/jss.v036.i03</w:t>
        </w:r>
      </w:hyperlink>
    </w:p>
    <w:bookmarkEnd w:id="130"/>
    <w:bookmarkStart w:id="132" w:name="ref-williams2023"/>
    <w:p>
      <w:pPr>
        <w:pStyle w:val="Bibliography"/>
      </w:pPr>
      <w:r>
        <w:t xml:space="preserve">Williams DE, Bright AJ, Williamson OM, et al (2023) Synchronous spawning of nursery-raised elkhorn coral (</w:t>
      </w:r>
      <w:r>
        <w:t xml:space="preserve">Acropora palmata</w:t>
      </w:r>
      <w:r>
        <w:t xml:space="preserve">) outplanted to reefs in the</w:t>
      </w:r>
      <w:r>
        <w:t xml:space="preserve"> </w:t>
      </w:r>
      <w:r>
        <w:t xml:space="preserve">Florida Keys</w:t>
      </w:r>
      <w:r>
        <w:t xml:space="preserve"> </w:t>
      </w:r>
      <w:r>
        <w:t xml:space="preserve">(</w:t>
      </w:r>
      <w:r>
        <w:t xml:space="preserve">United States</w:t>
      </w:r>
      <w:r>
        <w:t xml:space="preserve">). Frontiers in Marine Science 10:1180996.</w:t>
      </w:r>
      <w:r>
        <w:t xml:space="preserve"> </w:t>
      </w:r>
      <w:hyperlink r:id="rId131">
        <w:r>
          <w:rPr>
            <w:rStyle w:val="Hyperlink"/>
          </w:rPr>
          <w:t xml:space="preserve">https://doi.org/10.3389/fmars.2023.1180996</w:t>
        </w:r>
      </w:hyperlink>
    </w:p>
    <w:bookmarkEnd w:id="132"/>
    <w:bookmarkStart w:id="134" w:name="ref-williamsmiller2012"/>
    <w:p>
      <w:pPr>
        <w:pStyle w:val="Bibliography"/>
      </w:pPr>
      <w:r>
        <w:t xml:space="preserve">Williams DE, Miller MW (2012) Attributing mortality among drivers of population decline in</w:t>
      </w:r>
      <w:r>
        <w:t xml:space="preserve"> </w:t>
      </w:r>
      <w:r>
        <w:t xml:space="preserve">Acropora palmata</w:t>
      </w:r>
      <w:r>
        <w:t xml:space="preserve"> </w:t>
      </w:r>
      <w:r>
        <w:t xml:space="preserve">in the</w:t>
      </w:r>
      <w:r>
        <w:t xml:space="preserve"> </w:t>
      </w:r>
      <w:r>
        <w:t xml:space="preserve">Florida Keys</w:t>
      </w:r>
      <w:r>
        <w:t xml:space="preserve"> </w:t>
      </w:r>
      <w:r>
        <w:t xml:space="preserve">(</w:t>
      </w:r>
      <w:r>
        <w:t xml:space="preserve">USA</w:t>
      </w:r>
      <w:r>
        <w:t xml:space="preserve">). Coral Reefs 31:369–382.</w:t>
      </w:r>
      <w:r>
        <w:t xml:space="preserve"> </w:t>
      </w:r>
      <w:hyperlink r:id="rId133">
        <w:r>
          <w:rPr>
            <w:rStyle w:val="Hyperlink"/>
          </w:rPr>
          <w:t xml:space="preserve">https://doi.org/10.1007/s00338-011-0847-y</w:t>
        </w:r>
      </w:hyperlink>
    </w:p>
    <w:bookmarkEnd w:id="134"/>
    <w:bookmarkStart w:id="136" w:name="ref-williamsmiller2010"/>
    <w:p>
      <w:pPr>
        <w:pStyle w:val="Bibliography"/>
      </w:pPr>
      <w:r>
        <w:t xml:space="preserve">Williams DE, Miller MW (2010) Stabilization of fragments to enhance asexual recruitment in</w:t>
      </w:r>
      <w:r>
        <w:t xml:space="preserve"> </w:t>
      </w:r>
      <w:r>
        <w:t xml:space="preserve">Acropora palmata</w:t>
      </w:r>
      <w:r>
        <w:t xml:space="preserve">, a threatened</w:t>
      </w:r>
      <w:r>
        <w:t xml:space="preserve"> </w:t>
      </w:r>
      <w:r>
        <w:t xml:space="preserve">Caribbean</w:t>
      </w:r>
      <w:r>
        <w:t xml:space="preserve"> </w:t>
      </w:r>
      <w:r>
        <w:t xml:space="preserve">coral. Restoration Ecology 18:446–451.</w:t>
      </w:r>
      <w:r>
        <w:t xml:space="preserve"> </w:t>
      </w:r>
      <w:hyperlink r:id="rId135">
        <w:r>
          <w:rPr>
            <w:rStyle w:val="Hyperlink"/>
          </w:rPr>
          <w:t xml:space="preserve">https://doi.org/10.1111/j.1526-100X.2009.00579.x</w:t>
        </w:r>
      </w:hyperlink>
    </w:p>
    <w:bookmarkEnd w:id="136"/>
    <w:bookmarkStart w:id="138" w:name="ref-williams2008"/>
    <w:p>
      <w:pPr>
        <w:pStyle w:val="Bibliography"/>
      </w:pPr>
      <w:r>
        <w:t xml:space="preserve">Williams DE, Miller MW, Kramer KL (2008) Recruitment failure in</w:t>
      </w:r>
      <w:r>
        <w:t xml:space="preserve"> </w:t>
      </w:r>
      <w:r>
        <w:t xml:space="preserve">Florida Keys</w:t>
      </w:r>
      <w:r>
        <w:t xml:space="preserve"> </w:t>
      </w:r>
      <w:r>
        <w:t xml:space="preserve">Acropora palmata</w:t>
      </w:r>
      <w:r>
        <w:t xml:space="preserve">, a threatened</w:t>
      </w:r>
      <w:r>
        <w:t xml:space="preserve"> </w:t>
      </w:r>
      <w:r>
        <w:t xml:space="preserve">Caribbean</w:t>
      </w:r>
      <w:r>
        <w:t xml:space="preserve"> </w:t>
      </w:r>
      <w:r>
        <w:t xml:space="preserve">coral. Coral Reefs 27:697–705.</w:t>
      </w:r>
      <w:r>
        <w:t xml:space="preserve"> </w:t>
      </w:r>
      <w:hyperlink r:id="rId137">
        <w:r>
          <w:rPr>
            <w:rStyle w:val="Hyperlink"/>
          </w:rPr>
          <w:t xml:space="preserve">https://doi.org/10.1007/s00338-008-0386-3</w:t>
        </w:r>
      </w:hyperlink>
    </w:p>
    <w:bookmarkEnd w:id="138"/>
    <w:bookmarkEnd w:id="139"/>
    <w:bookmarkEnd w:id="1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hyperlink" Id="rId66" Target="https://doi.org/10.1002/aqc.2374" TargetMode="External" /><Relationship Type="http://schemas.openxmlformats.org/officeDocument/2006/relationships/hyperlink" Id="rId62" Target="https://doi.org/10.1002/ecs2.70117" TargetMode="External" /><Relationship Type="http://schemas.openxmlformats.org/officeDocument/2006/relationships/hyperlink" Id="rId82" Target="https://doi.org/10.1002/sim.1482" TargetMode="External" /><Relationship Type="http://schemas.openxmlformats.org/officeDocument/2006/relationships/hyperlink" Id="rId115" Target="https://doi.org/10.1007/s00227-019-3639-5" TargetMode="External" /><Relationship Type="http://schemas.openxmlformats.org/officeDocument/2006/relationships/hyperlink" Id="rId137" Target="https://doi.org/10.1007/s00338-008-0386-3" TargetMode="External" /><Relationship Type="http://schemas.openxmlformats.org/officeDocument/2006/relationships/hyperlink" Id="rId133" Target="https://doi.org/10.1007/s00338-011-0847-y" TargetMode="External" /><Relationship Type="http://schemas.openxmlformats.org/officeDocument/2006/relationships/hyperlink" Id="rId119" Target="https://doi.org/10.1007/s00338-012-0898-8" TargetMode="External" /><Relationship Type="http://schemas.openxmlformats.org/officeDocument/2006/relationships/hyperlink" Id="rId117" Target="https://doi.org/10.1007/s00338-013-1113-2" TargetMode="External" /><Relationship Type="http://schemas.openxmlformats.org/officeDocument/2006/relationships/hyperlink" Id="rId124" Target="https://doi.org/10.1007/s00338-017-1596-3" TargetMode="External" /><Relationship Type="http://schemas.openxmlformats.org/officeDocument/2006/relationships/hyperlink" Id="rId58" Target="https://doi.org/10.1007/s003380100164" TargetMode="External" /><Relationship Type="http://schemas.openxmlformats.org/officeDocument/2006/relationships/hyperlink" Id="rId89" Target="https://doi.org/10.1016/S0304-3800(02)00346-0" TargetMode="External" /><Relationship Type="http://schemas.openxmlformats.org/officeDocument/2006/relationships/hyperlink" Id="rId72" Target="https://doi.org/10.1016/j.biocon.2008.09.020" TargetMode="External" /><Relationship Type="http://schemas.openxmlformats.org/officeDocument/2006/relationships/hyperlink" Id="rId60" Target="https://doi.org/10.1016/j.gecco.2015.10.005" TargetMode="External" /><Relationship Type="http://schemas.openxmlformats.org/officeDocument/2006/relationships/hyperlink" Id="rId122" Target="https://doi.org/10.1038/s43247-024-01816-7" TargetMode="External" /><Relationship Type="http://schemas.openxmlformats.org/officeDocument/2006/relationships/hyperlink" Id="rId113" Target="https://doi.org/10.1086/BBLv217n3p269" TargetMode="External" /><Relationship Type="http://schemas.openxmlformats.org/officeDocument/2006/relationships/hyperlink" Id="rId92" Target="https://doi.org/10.1098/rsbl.2019.0727" TargetMode="External" /><Relationship Type="http://schemas.openxmlformats.org/officeDocument/2006/relationships/hyperlink" Id="rId96" Target="https://doi.org/10.1101/2025.10.21.683544" TargetMode="External" /><Relationship Type="http://schemas.openxmlformats.org/officeDocument/2006/relationships/hyperlink" Id="rId94" Target="https://doi.org/10.1111/ele.12306" TargetMode="External" /><Relationship Type="http://schemas.openxmlformats.org/officeDocument/2006/relationships/hyperlink" Id="rId135" Target="https://doi.org/10.1111/j.1526-100X.2009.00579.x" TargetMode="External" /><Relationship Type="http://schemas.openxmlformats.org/officeDocument/2006/relationships/hyperlink" Id="rId70" Target="https://doi.org/10.1126/science.1086050" TargetMode="External" /><Relationship Type="http://schemas.openxmlformats.org/officeDocument/2006/relationships/hyperlink" Id="rId98" Target="https://doi.org/10.1126/science.adx7825" TargetMode="External" /><Relationship Type="http://schemas.openxmlformats.org/officeDocument/2006/relationships/hyperlink" Id="rId86" Target="https://doi.org/10.1371/journal.pone.0021830" TargetMode="External" /><Relationship Type="http://schemas.openxmlformats.org/officeDocument/2006/relationships/hyperlink" Id="rId100" Target="https://doi.org/10.1371/journal.pone.0267034" TargetMode="External" /><Relationship Type="http://schemas.openxmlformats.org/officeDocument/2006/relationships/hyperlink" Id="rId56" Target="https://doi.org/10.1371/journal.pone.0296485" TargetMode="External" /><Relationship Type="http://schemas.openxmlformats.org/officeDocument/2006/relationships/hyperlink" Id="rId129" Target="https://doi.org/10.18637/jss.v036.i03" TargetMode="External" /><Relationship Type="http://schemas.openxmlformats.org/officeDocument/2006/relationships/hyperlink" Id="rId127" Target="https://doi.org/10.3354/esr00475" TargetMode="External" /><Relationship Type="http://schemas.openxmlformats.org/officeDocument/2006/relationships/hyperlink" Id="rId84" Target="https://doi.org/10.3354/esr01083" TargetMode="External" /><Relationship Type="http://schemas.openxmlformats.org/officeDocument/2006/relationships/hyperlink" Id="rId107" Target="https://doi.org/10.3354/meps12488" TargetMode="External" /><Relationship Type="http://schemas.openxmlformats.org/officeDocument/2006/relationships/hyperlink" Id="rId64" Target="https://doi.org/10.3354/meps13205" TargetMode="External" /><Relationship Type="http://schemas.openxmlformats.org/officeDocument/2006/relationships/hyperlink" Id="rId75" Target="https://doi.org/10.3354/meps321123" TargetMode="External" /><Relationship Type="http://schemas.openxmlformats.org/officeDocument/2006/relationships/hyperlink" Id="rId77" Target="https://doi.org/10.3354/meps335233" TargetMode="External" /><Relationship Type="http://schemas.openxmlformats.org/officeDocument/2006/relationships/hyperlink" Id="rId109" Target="https://doi.org/10.3389/fmars.2018.00396" TargetMode="External" /><Relationship Type="http://schemas.openxmlformats.org/officeDocument/2006/relationships/hyperlink" Id="rId104" Target="https://doi.org/10.3389/fmars.2022.978785" TargetMode="External" /><Relationship Type="http://schemas.openxmlformats.org/officeDocument/2006/relationships/hyperlink" Id="rId131" Target="https://doi.org/10.3389/fmars.2023.1180996" TargetMode="External" /><Relationship Type="http://schemas.openxmlformats.org/officeDocument/2006/relationships/hyperlink" Id="rId68" Target="https://doi.org/10.5343/bms.2012.1016" TargetMode="External" /><Relationship Type="http://schemas.openxmlformats.org/officeDocument/2006/relationships/hyperlink" Id="rId102" Target="https://doi.org/10.7717/peerj.15813" TargetMode="External" /><Relationship Type="http://schemas.openxmlformats.org/officeDocument/2006/relationships/hyperlink" Id="rId111" Target="https://doi.org/10.7717/peerj.20303" TargetMode="External" /><Relationship Type="http://schemas.openxmlformats.org/officeDocument/2006/relationships/hyperlink" Id="rId36" Target="https://github.com/stier-lab/Detmer-2025-coral-parameters" TargetMode="External" /></Relationships>
</file>

<file path=word/_rels/footnotes.xml.rels><?xml version="1.0" encoding="UTF-8"?><Relationships xmlns="http://schemas.openxmlformats.org/package/2006/relationships"><Relationship Type="http://schemas.openxmlformats.org/officeDocument/2006/relationships/hyperlink" Id="rId66" Target="https://doi.org/10.1002/aqc.2374" TargetMode="External" /><Relationship Type="http://schemas.openxmlformats.org/officeDocument/2006/relationships/hyperlink" Id="rId62" Target="https://doi.org/10.1002/ecs2.70117" TargetMode="External" /><Relationship Type="http://schemas.openxmlformats.org/officeDocument/2006/relationships/hyperlink" Id="rId82" Target="https://doi.org/10.1002/sim.1482" TargetMode="External" /><Relationship Type="http://schemas.openxmlformats.org/officeDocument/2006/relationships/hyperlink" Id="rId115" Target="https://doi.org/10.1007/s00227-019-3639-5" TargetMode="External" /><Relationship Type="http://schemas.openxmlformats.org/officeDocument/2006/relationships/hyperlink" Id="rId137" Target="https://doi.org/10.1007/s00338-008-0386-3" TargetMode="External" /><Relationship Type="http://schemas.openxmlformats.org/officeDocument/2006/relationships/hyperlink" Id="rId133" Target="https://doi.org/10.1007/s00338-011-0847-y" TargetMode="External" /><Relationship Type="http://schemas.openxmlformats.org/officeDocument/2006/relationships/hyperlink" Id="rId119" Target="https://doi.org/10.1007/s00338-012-0898-8" TargetMode="External" /><Relationship Type="http://schemas.openxmlformats.org/officeDocument/2006/relationships/hyperlink" Id="rId117" Target="https://doi.org/10.1007/s00338-013-1113-2" TargetMode="External" /><Relationship Type="http://schemas.openxmlformats.org/officeDocument/2006/relationships/hyperlink" Id="rId124" Target="https://doi.org/10.1007/s00338-017-1596-3" TargetMode="External" /><Relationship Type="http://schemas.openxmlformats.org/officeDocument/2006/relationships/hyperlink" Id="rId58" Target="https://doi.org/10.1007/s003380100164" TargetMode="External" /><Relationship Type="http://schemas.openxmlformats.org/officeDocument/2006/relationships/hyperlink" Id="rId89" Target="https://doi.org/10.1016/S0304-3800(02)00346-0" TargetMode="External" /><Relationship Type="http://schemas.openxmlformats.org/officeDocument/2006/relationships/hyperlink" Id="rId72" Target="https://doi.org/10.1016/j.biocon.2008.09.020" TargetMode="External" /><Relationship Type="http://schemas.openxmlformats.org/officeDocument/2006/relationships/hyperlink" Id="rId60" Target="https://doi.org/10.1016/j.gecco.2015.10.005" TargetMode="External" /><Relationship Type="http://schemas.openxmlformats.org/officeDocument/2006/relationships/hyperlink" Id="rId122" Target="https://doi.org/10.1038/s43247-024-01816-7" TargetMode="External" /><Relationship Type="http://schemas.openxmlformats.org/officeDocument/2006/relationships/hyperlink" Id="rId113" Target="https://doi.org/10.1086/BBLv217n3p269" TargetMode="External" /><Relationship Type="http://schemas.openxmlformats.org/officeDocument/2006/relationships/hyperlink" Id="rId92" Target="https://doi.org/10.1098/rsbl.2019.0727" TargetMode="External" /><Relationship Type="http://schemas.openxmlformats.org/officeDocument/2006/relationships/hyperlink" Id="rId96" Target="https://doi.org/10.1101/2025.10.21.683544" TargetMode="External" /><Relationship Type="http://schemas.openxmlformats.org/officeDocument/2006/relationships/hyperlink" Id="rId94" Target="https://doi.org/10.1111/ele.12306" TargetMode="External" /><Relationship Type="http://schemas.openxmlformats.org/officeDocument/2006/relationships/hyperlink" Id="rId135" Target="https://doi.org/10.1111/j.1526-100X.2009.00579.x" TargetMode="External" /><Relationship Type="http://schemas.openxmlformats.org/officeDocument/2006/relationships/hyperlink" Id="rId70" Target="https://doi.org/10.1126/science.1086050" TargetMode="External" /><Relationship Type="http://schemas.openxmlformats.org/officeDocument/2006/relationships/hyperlink" Id="rId98" Target="https://doi.org/10.1126/science.adx7825" TargetMode="External" /><Relationship Type="http://schemas.openxmlformats.org/officeDocument/2006/relationships/hyperlink" Id="rId86" Target="https://doi.org/10.1371/journal.pone.0021830" TargetMode="External" /><Relationship Type="http://schemas.openxmlformats.org/officeDocument/2006/relationships/hyperlink" Id="rId100" Target="https://doi.org/10.1371/journal.pone.0267034" TargetMode="External" /><Relationship Type="http://schemas.openxmlformats.org/officeDocument/2006/relationships/hyperlink" Id="rId56" Target="https://doi.org/10.1371/journal.pone.0296485" TargetMode="External" /><Relationship Type="http://schemas.openxmlformats.org/officeDocument/2006/relationships/hyperlink" Id="rId129" Target="https://doi.org/10.18637/jss.v036.i03" TargetMode="External" /><Relationship Type="http://schemas.openxmlformats.org/officeDocument/2006/relationships/hyperlink" Id="rId127" Target="https://doi.org/10.3354/esr00475" TargetMode="External" /><Relationship Type="http://schemas.openxmlformats.org/officeDocument/2006/relationships/hyperlink" Id="rId84" Target="https://doi.org/10.3354/esr01083" TargetMode="External" /><Relationship Type="http://schemas.openxmlformats.org/officeDocument/2006/relationships/hyperlink" Id="rId107" Target="https://doi.org/10.3354/meps12488" TargetMode="External" /><Relationship Type="http://schemas.openxmlformats.org/officeDocument/2006/relationships/hyperlink" Id="rId64" Target="https://doi.org/10.3354/meps13205" TargetMode="External" /><Relationship Type="http://schemas.openxmlformats.org/officeDocument/2006/relationships/hyperlink" Id="rId75" Target="https://doi.org/10.3354/meps321123" TargetMode="External" /><Relationship Type="http://schemas.openxmlformats.org/officeDocument/2006/relationships/hyperlink" Id="rId77" Target="https://doi.org/10.3354/meps335233" TargetMode="External" /><Relationship Type="http://schemas.openxmlformats.org/officeDocument/2006/relationships/hyperlink" Id="rId109" Target="https://doi.org/10.3389/fmars.2018.00396" TargetMode="External" /><Relationship Type="http://schemas.openxmlformats.org/officeDocument/2006/relationships/hyperlink" Id="rId104" Target="https://doi.org/10.3389/fmars.2022.978785" TargetMode="External" /><Relationship Type="http://schemas.openxmlformats.org/officeDocument/2006/relationships/hyperlink" Id="rId131" Target="https://doi.org/10.3389/fmars.2023.1180996" TargetMode="External" /><Relationship Type="http://schemas.openxmlformats.org/officeDocument/2006/relationships/hyperlink" Id="rId68" Target="https://doi.org/10.5343/bms.2012.1016" TargetMode="External" /><Relationship Type="http://schemas.openxmlformats.org/officeDocument/2006/relationships/hyperlink" Id="rId102" Target="https://doi.org/10.7717/peerj.15813" TargetMode="External" /><Relationship Type="http://schemas.openxmlformats.org/officeDocument/2006/relationships/hyperlink" Id="rId111" Target="https://doi.org/10.7717/peerj.20303" TargetMode="External" /><Relationship Type="http://schemas.openxmlformats.org/officeDocument/2006/relationships/hyperlink" Id="rId36" Target="https://github.com/stier-lab/Detmer-2025-coral-paramete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Size-dependent demography, disturbance, and transition dynamics of Acropora palmata across the Caribbean</dc:title>
  <dc:creator/>
  <cp:keywords/>
  <dcterms:created xsi:type="dcterms:W3CDTF">2026-10-01T21:35:52Z</dcterms:created>
  <dcterms:modified xsi:type="dcterms:W3CDTF">2026-10-01T21:35:52Z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rticle_type">
    <vt:lpwstr>Report</vt:lpwstr>
  </property>
  <property fmtid="{D5CDD505-2E9C-101B-9397-08002B2CF9AE}" pid="3" name="bibliography">
    <vt:lpwstr/>
  </property>
  <property fmtid="{D5CDD505-2E9C-101B-9397-08002B2CF9AE}" pid="4" name="csl">
    <vt:lpwstr>/Users/adrianstier/Detmer-2025-coral-parameters/paper/springer-basic-author-date.csl</vt:lpwstr>
  </property>
  <property fmtid="{D5CDD505-2E9C-101B-9397-08002B2CF9AE}" pid="5" name="header-includes">
    <vt:lpwstr/>
  </property>
  <property fmtid="{D5CDD505-2E9C-101B-9397-08002B2CF9AE}" pid="6" name="link-citations">
    <vt:lpwstr>True</vt:lpwstr>
  </property>
  <property fmtid="{D5CDD505-2E9C-101B-9397-08002B2CF9AE}" pid="7" name="status">
    <vt:lpwstr>Complete first manuscript draft; citations and submission metadata require final verification</vt:lpwstr>
  </property>
  <property fmtid="{D5CDD505-2E9C-101B-9397-08002B2CF9AE}" pid="8" name="target_journal">
    <vt:lpwstr>Coral Reefs</vt:lpwstr>
  </property>
</Properties>
</file>