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rPr>
        <w:t xml:space="preserve">Online Resource 1: Supporting analyses for size-dependent demography, disturbance, and transition dynamics of</w:t>
      </w:r>
      <w:r>
        <w:rPr>
          <w:rFonts w:ascii="Times New Roman" w:hAnsi="Times New Roman"/>
        </w:rPr>
        <w:t xml:space="preserve"> </w:t>
      </w:r>
      <w:r>
        <w:rPr>
          <w:rFonts w:ascii="Times New Roman" w:hAnsi="Times New Roman"/>
          <w:i/>
          <w:iCs/>
        </w:rPr>
        <w:t xml:space="preserve">Acropora palmata</w:t>
      </w:r>
      <w:r>
        <w:rPr>
          <w:rFonts w:ascii="Times New Roman" w:hAnsi="Times New Roman"/>
        </w:rPr>
        <w:t xml:space="preserve"> </w:t>
      </w:r>
      <w:r>
        <w:rPr>
          <w:rFonts w:ascii="Times New Roman" w:hAnsi="Times New Roman"/>
        </w:rPr>
        <w:t xml:space="preserve">across the Caribbean</w:t>
      </w:r>
    </w:p>
    <w:p>
      <w:pPr>
        <w:pStyle w:val="Author"/>
      </w:pPr>
      <w:r>
        <w:rPr>
          <w:rFonts w:ascii="Times New Roman" w:hAnsi="Times New Roman"/>
        </w:rPr>
        <w:t xml:space="preserve">Adrian C. Stier; A. Raine Detmer; Jameal F. Samhouri; Darcy Bradley; Aldo Croquer; Rita I. Sellares-Blasco</w:t>
      </w:r>
    </w:p>
    <w:p>
      <w:pPr>
        <w:pStyle w:val="FirstParagraph"/>
      </w:pPr>
      <w:r>
        <w:rPr>
          <w:rFonts w:ascii="Times New Roman" w:hAnsi="Times New Roman"/>
          <w:b/>
          <w:bCs/>
        </w:rPr>
        <w:t xml:space="preserve">Journal:</w:t>
      </w:r>
      <w:r>
        <w:rPr>
          <w:rFonts w:ascii="Times New Roman" w:hAnsi="Times New Roman"/>
        </w:rPr>
        <w:t xml:space="preserve"> </w:t>
      </w:r>
      <w:r>
        <w:rPr>
          <w:rFonts w:ascii="Times New Roman" w:hAnsi="Times New Roman"/>
          <w:i/>
          <w:iCs/>
        </w:rPr>
        <w:t xml:space="preserve">Coral Reefs</w:t>
      </w:r>
      <w:r>
        <w:rPr>
          <w:rFonts w:ascii="Times New Roman" w:hAnsi="Times New Roman"/>
        </w:rPr>
        <w:br/>
      </w:r>
      <w:r>
        <w:rPr>
          <w:rFonts w:ascii="Times New Roman" w:hAnsi="Times New Roman"/>
          <w:b/>
          <w:bCs/>
        </w:rPr>
        <w:t xml:space="preserve">Corresponding author:</w:t>
      </w:r>
      <w:r>
        <w:rPr>
          <w:rFonts w:ascii="Times New Roman" w:hAnsi="Times New Roman"/>
        </w:rPr>
        <w:t xml:space="preserve"> </w:t>
      </w:r>
      <w:r>
        <w:rPr>
          <w:rFonts w:ascii="Times New Roman" w:hAnsi="Times New Roman"/>
        </w:rPr>
        <w:t xml:space="preserve">Adrian C. Stier, Department of Ecology, Evolution, and Marine Biology and Marine Science Institute, University of California, Santa Barbara, CA 93106, USA.</w:t>
      </w:r>
    </w:p>
    <w:p>
      <w:pPr>
        <w:pStyle w:val="BodyText"/>
      </w:pPr>
      <w:r>
        <w:rPr>
          <w:rFonts w:ascii="Times New Roman" w:hAnsi="Times New Roman"/>
          <w:b/>
          <w:bCs/>
        </w:rPr>
        <w:t xml:space="preserve">Corresponding author email:</w:t>
      </w:r>
      <w:r>
        <w:rPr>
          <w:rFonts w:ascii="Times New Roman" w:hAnsi="Times New Roman"/>
        </w:rPr>
        <w:t xml:space="preserve"> </w:t>
      </w:r>
      <w:r>
        <w:rPr>
          <w:rFonts w:ascii="Times New Roman" w:hAnsi="Times New Roman"/>
        </w:rPr>
        <w:t xml:space="preserve">astier@ucsb.edu.</w:t>
      </w:r>
    </w:p>
    <w:bookmarkStart w:id="9" w:name="contents"/>
    <w:p>
      <w:pPr>
        <w:pStyle w:val="Heading2"/>
        <w:keepNext/>
        <w:spacing w:before="200"/>
      </w:pPr>
      <w:r>
        <w:rPr>
          <w:rFonts w:ascii="Times New Roman" w:hAnsi="Times New Roman"/>
        </w:rPr>
        <w:t xml:space="preserve">Contents</w:t>
      </w:r>
    </w:p>
    <w:p>
      <w:pPr>
        <w:pStyle w:val="Compact"/>
        <w:numPr>
          <w:ilvl w:val="0"/>
          <w:numId w:val="1001"/>
        </w:numPr>
      </w:pPr>
      <w:r>
        <w:rPr>
          <w:rFonts w:ascii="Times New Roman" w:hAnsi="Times New Roman"/>
        </w:rPr>
        <w:t xml:space="preserve">Studies contributing to the synthesis (Table S1)</w:t>
      </w:r>
    </w:p>
    <w:p>
      <w:pPr>
        <w:pStyle w:val="Compact"/>
        <w:numPr>
          <w:ilvl w:val="0"/>
          <w:numId w:val="1001"/>
        </w:numPr>
      </w:pPr>
      <w:r>
        <w:rPr>
          <w:rFonts w:ascii="Times New Roman" w:hAnsi="Times New Roman"/>
        </w:rPr>
        <w:t xml:space="preserve">Study-window disturbance summary (Table S2)</w:t>
      </w:r>
    </w:p>
    <w:p>
      <w:pPr>
        <w:pStyle w:val="Compact"/>
        <w:numPr>
          <w:ilvl w:val="0"/>
          <w:numId w:val="1001"/>
        </w:numPr>
      </w:pPr>
      <w:r>
        <w:rPr>
          <w:rFonts w:ascii="Times New Roman" w:hAnsi="Times New Roman"/>
        </w:rPr>
        <w:t xml:space="preserve">Growth-size diagnostics (Fig. S1)</w:t>
      </w:r>
    </w:p>
    <w:p>
      <w:pPr>
        <w:pStyle w:val="Compact"/>
        <w:numPr>
          <w:ilvl w:val="0"/>
          <w:numId w:val="1001"/>
        </w:numPr>
      </w:pPr>
      <w:r>
        <w:rPr>
          <w:rFonts w:ascii="Times New Roman" w:hAnsi="Times New Roman"/>
        </w:rPr>
        <w:t xml:space="preserve">Population origin is confounded with study identity (Fig. S2)</w:t>
      </w:r>
    </w:p>
    <w:p>
      <w:pPr>
        <w:pStyle w:val="Compact"/>
        <w:numPr>
          <w:ilvl w:val="0"/>
          <w:numId w:val="1001"/>
        </w:numPr>
      </w:pPr>
      <w:r>
        <w:rPr>
          <w:rFonts w:ascii="Times New Roman" w:hAnsi="Times New Roman"/>
        </w:rPr>
        <w:t xml:space="preserve">Shrinkage and retrogression (Fig. S3)</w:t>
      </w:r>
    </w:p>
    <w:p>
      <w:pPr>
        <w:pStyle w:val="Compact"/>
        <w:numPr>
          <w:ilvl w:val="0"/>
          <w:numId w:val="1001"/>
        </w:numPr>
      </w:pPr>
      <w:r>
        <w:rPr>
          <w:rFonts w:ascii="Times New Roman" w:hAnsi="Times New Roman"/>
        </w:rPr>
        <w:t xml:space="preserve">Disturbance and size-dependent survival (Fig. S4)</w:t>
      </w:r>
    </w:p>
    <w:p>
      <w:pPr>
        <w:pStyle w:val="Compact"/>
        <w:numPr>
          <w:ilvl w:val="0"/>
          <w:numId w:val="1001"/>
        </w:numPr>
      </w:pPr>
      <w:r>
        <w:rPr>
          <w:rFonts w:ascii="Times New Roman" w:hAnsi="Times New Roman"/>
        </w:rPr>
        <w:t xml:space="preserve">Restoration subtype sensitivity (Fig. S5)</w:t>
      </w:r>
    </w:p>
    <w:p>
      <w:pPr>
        <w:pStyle w:val="Compact"/>
        <w:numPr>
          <w:ilvl w:val="0"/>
          <w:numId w:val="1001"/>
        </w:numPr>
      </w:pPr>
      <w:r>
        <w:rPr>
          <w:rFonts w:ascii="Times New Roman" w:hAnsi="Times New Roman"/>
        </w:rPr>
        <w:t xml:space="preserve">Florida-scale heatwave scenarios (Fig. S6)</w:t>
      </w:r>
    </w:p>
    <w:bookmarkEnd w:id="9"/>
    <w:bookmarkStart w:id="10" w:name="studies-contributing-to-the-synthesis"/>
    <w:p>
      <w:pPr>
        <w:pStyle w:val="Heading2"/>
        <w:keepNext/>
      </w:pPr>
      <w:r>
        <w:rPr>
          <w:rFonts w:ascii="Times New Roman" w:hAnsi="Times New Roman"/>
        </w:rPr>
        <w:t xml:space="preserve">1. Studies contributing to the synthesis</w:t>
      </w:r>
    </w:p>
    <w:p>
      <w:pPr>
        <w:pStyle w:val="FirstParagraph"/>
        <w:spacing w:before="80" w:after="120"/>
        <w:keepNext/>
      </w:pPr>
      <w:r>
        <w:rPr>
          <w:rFonts w:ascii="Times New Roman" w:hAnsi="Times New Roman"/>
          <w:b/>
          <w:bCs/>
        </w:rPr>
        <w:t xml:space="preserve">Table S1. Eighteen studies contributed data; seventeen entered the survival synthesis.</w:t>
      </w:r>
      <w:r>
        <w:rPr>
          <w:rFonts w:ascii="Times New Roman" w:hAnsi="Times New Roman"/>
        </w:rPr>
        <w:t xml:space="preserve"> </w:t>
      </w:r>
      <w:r>
        <w:rPr>
          <w:rFonts w:ascii="Times New Roman" w:hAnsi="Times New Roman"/>
        </w:rPr>
        <w:t xml:space="preserve">Tier 1 studies supplied individual colony records; Tier 2 studies supplied study-level summaries.</w:t>
      </w:r>
      <w:r>
        <w:rPr>
          <w:rFonts w:ascii="Times New Roman" w:hAnsi="Times New Roman"/>
        </w:rPr>
        <w:t xml:space="preserve"> </w:t>
      </w:r>
      <w:r>
        <w:rPr>
          <w:rFonts w:ascii="Times New Roman" w:hAnsi="Times New Roman"/>
          <w:i/>
          <w:iCs/>
        </w:rPr>
        <w:t xml:space="preserve">N</w:t>
      </w:r>
      <w:r>
        <w:rPr>
          <w:rFonts w:ascii="Times New Roman" w:hAnsi="Times New Roman"/>
        </w:rPr>
        <w:t xml:space="preserve"> </w:t>
      </w:r>
      <w:r>
        <w:rPr>
          <w:rFonts w:ascii="Times New Roman" w:hAnsi="Times New Roman"/>
        </w:rPr>
        <w:t xml:space="preserve">is the effective annualized denominator in the survival synthesis after interval filtering and aggregation, summed across a study’s effects; survival is the</w:t>
      </w:r>
      <w:r>
        <w:rPr>
          <w:rFonts w:ascii="Times New Roman" w:hAnsi="Times New Roman"/>
        </w:rPr>
        <w:t xml:space="preserve"> </w:t>
      </w:r>
      <w:r>
        <w:rPr>
          <w:rFonts w:ascii="Times New Roman" w:hAnsi="Times New Roman"/>
          <w:i/>
          <w:iCs/>
        </w:rPr>
        <w:t xml:space="preserve">N</w:t>
      </w:r>
      <w:r>
        <w:rPr>
          <w:rFonts w:ascii="Times New Roman" w:hAnsi="Times New Roman"/>
        </w:rPr>
        <w:t xml:space="preserve">-weighted mean of annualized effect-level survival and is shown for orientation only (Fig. 3 gives random-effects estimates). Roles: S, survival synthesis; V, size-dependent vital-rate models; M, transition matrix (natural-colony survival and growth). Fragmentation in the matrix came only from Vardi</w:t>
      </w:r>
      <w:r>
        <w:rPr>
          <w:rFonts w:ascii="Times New Roman" w:hAnsi="Times New Roman"/>
        </w:rPr>
        <w:t xml:space="preserve"> </w:t>
      </w:r>
      <w:r>
        <w:rPr>
          <w:rFonts w:ascii="Times New Roman" w:hAnsi="Times New Roman"/>
        </w:rPr>
        <w:t xml:space="preserve">(</w:t>
      </w:r>
      <w:hyperlink w:anchor="ref-vardi2011">
        <w:r>
          <w:rPr>
            <w:rStyle w:val="Hyperlink"/>
          </w:rPr>
          <w:t xml:space="preserve">2011</w:t>
        </w:r>
      </w:hyperlink>
      <w:r>
        <w:rPr>
          <w:rFonts w:ascii="Times New Roman" w:hAnsi="Times New Roman"/>
        </w:rPr>
        <w:t xml:space="preserve">)</w:t>
      </w:r>
      <w:r>
        <w:rPr>
          <w:rFonts w:ascii="Times New Roman" w:hAnsi="Times New Roman"/>
        </w:rPr>
        <w:t xml:space="preserve">, whose summaries also entered the survival synthesis.</w:t>
      </w:r>
    </w:p>
    <w:tbl>
      <w:tblPr>
        <w:tblStyle w:val="Table"/>
        <w:tblW w:type="pct" w:w="5000"/>
        <w:tblLayout w:type="fixed"/>
        <w:tblLook w:firstRow="1" w:lastRow="0" w:firstColumn="0" w:lastColumn="0" w:noHBand="0" w:noVBand="0" w:val="0020"/>
      </w:tblPr>
      <w:tblGrid>
        <w:gridCol w:w="2610"/>
        <w:gridCol w:w="270"/>
        <w:gridCol w:w="1800"/>
        <w:gridCol w:w="1170"/>
        <w:gridCol w:w="360"/>
        <w:gridCol w:w="450"/>
        <w:gridCol w:w="540"/>
        <w:gridCol w:w="720"/>
      </w:tblGrid>
      <w:tr>
        <w:trPr>
          <w:tblHeader w:val="on"/>
          <w:tblHeader w:val="true"/>
        </w:trP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left"/>
            </w:pPr>
            <w:r>
              <w:rPr>
                <w:rFonts w:ascii="Times New Roman" w:hAnsi="Times New Roman"/>
                <w:b/>
                <w:color w:val="FFFFFF"/>
                <w:sz w:val="18"/>
              </w:rPr>
              <w:t xml:space="preserve">Study</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spacing w:after="40" w:before="40"/>
            </w:pPr>
            <w:r>
              <w:rPr>
                <w:rFonts w:ascii="Times New Roman" w:hAnsi="Times New Roman"/>
                <w:b/>
                <w:color w:val="FFFFFF"/>
                <w:sz w:val="18"/>
              </w:rPr>
              <w:t>T</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left"/>
            </w:pPr>
            <w:r>
              <w:rPr>
                <w:rFonts w:ascii="Times New Roman" w:hAnsi="Times New Roman"/>
                <w:b/>
                <w:color w:val="FFFFFF"/>
                <w:sz w:val="18"/>
              </w:rPr>
              <w:t xml:space="preserve">Region(s)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left"/>
            </w:pPr>
            <w:r>
              <w:rPr>
                <w:rFonts w:ascii="Times New Roman" w:hAnsi="Times New Roman"/>
                <w:b/>
                <w:color w:val="FFFFFF"/>
                <w:sz w:val="18"/>
              </w:rPr>
              <w:t xml:space="preserve">Population type</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right"/>
            </w:pPr>
            <w:r>
              <w:rPr>
                <w:rFonts w:ascii="Times New Roman" w:hAnsi="Times New Roman"/>
                <w:b/>
                <w:color w:val="FFFFFF"/>
                <w:sz w:val="18"/>
              </w:rPr>
              <w:t xml:space="preserve">Effects</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right"/>
            </w:pPr>
            <w:r>
              <w:rPr>
                <w:rFonts w:ascii="Times New Roman" w:hAnsi="Times New Roman"/>
                <w:b/>
                <w:i/>
                <w:iCs/>
                <w:color w:val="FFFFFF"/>
                <w:sz w:val="18"/>
              </w:rPr>
              <w:t xml:space="preserve">N</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right"/>
            </w:pPr>
            <w:r>
              <w:rPr>
                <w:rFonts w:ascii="Times New Roman" w:hAnsi="Times New Roman"/>
                <w:b/>
                <w:color w:val="FFFFFF"/>
                <w:sz w:val="18"/>
              </w:rPr>
              <w:t xml:space="preserve">Survival (%)</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left"/>
            </w:pPr>
            <w:r>
              <w:rPr>
                <w:rFonts w:ascii="Times New Roman" w:hAnsi="Times New Roman"/>
                <w:b/>
                <w:color w:val="FFFFFF"/>
                <w:sz w:val="18"/>
              </w:rPr>
              <w:t xml:space="preserve">Roles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NOAA monitoring</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1</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Florida Keys, Curaçao, Navassa</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Natural</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3</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3,874</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87.4</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S, V, M</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Neely et al.</w:t>
            </w:r>
            <w:r>
              <w:rPr>
                <w:rFonts w:ascii="Times New Roman" w:hAnsi="Times New Roman"/>
                <w:b w:val="0"/>
                <w:sz w:val="18"/>
              </w:rPr>
              <w:t xml:space="preserve"> </w:t>
            </w:r>
            <w:r>
              <w:rPr>
                <w:rFonts w:ascii="Times New Roman" w:hAnsi="Times New Roman"/>
                <w:b w:val="0"/>
                <w:sz w:val="18"/>
              </w:rPr>
              <w:t xml:space="preserve">(</w:t>
            </w:r>
            <w:hyperlink w:anchor="ref-neely2022">
              <w:r>
                <w:rPr>
                  <w:rStyle w:val="Hyperlink"/>
                </w:rPr>
                <w:t xml:space="preserve">2022</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1</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Florida Keys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Natural</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2,191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70.2</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S, V, M</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Pausch et al.</w:t>
            </w:r>
            <w:r>
              <w:rPr>
                <w:rFonts w:ascii="Times New Roman" w:hAnsi="Times New Roman"/>
                <w:b w:val="0"/>
                <w:sz w:val="18"/>
              </w:rPr>
              <w:t xml:space="preserve"> </w:t>
            </w:r>
            <w:r>
              <w:rPr>
                <w:rFonts w:ascii="Times New Roman" w:hAnsi="Times New Roman"/>
                <w:b w:val="0"/>
                <w:sz w:val="18"/>
              </w:rPr>
              <w:t xml:space="preserve">(</w:t>
            </w:r>
            <w:hyperlink w:anchor="ref-pausch2018">
              <w:r>
                <w:rPr>
                  <w:rStyle w:val="Hyperlink"/>
                </w:rPr>
                <w:t xml:space="preserve">2018</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1</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Florida Keys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968</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57.4</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S, V</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Kuffner et al.</w:t>
            </w:r>
            <w:r>
              <w:rPr>
                <w:rFonts w:ascii="Times New Roman" w:hAnsi="Times New Roman"/>
                <w:b w:val="0"/>
                <w:sz w:val="18"/>
              </w:rPr>
              <w:t xml:space="preserve"> </w:t>
            </w:r>
            <w:r>
              <w:rPr>
                <w:rFonts w:ascii="Times New Roman" w:hAnsi="Times New Roman"/>
                <w:b w:val="0"/>
                <w:sz w:val="18"/>
              </w:rPr>
              <w:t xml:space="preserve">(</w:t>
            </w:r>
            <w:hyperlink w:anchor="ref-kuffner2020">
              <w:r>
                <w:rPr>
                  <w:rStyle w:val="Hyperlink"/>
                </w:rPr>
                <w:t xml:space="preserve">2020</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1</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Florida Keys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53</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81.1</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S, V</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USGS outplant experiment (unpublished)</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1</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US Virgin Islands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46</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65.5</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S, V</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FUNDEMAR fragments (unpublished)</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1</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Dominican Republic</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44</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86.6</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S, V</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Mendoza Quiroz et al.</w:t>
            </w:r>
            <w:r>
              <w:rPr>
                <w:rFonts w:ascii="Times New Roman" w:hAnsi="Times New Roman"/>
                <w:b w:val="0"/>
                <w:sz w:val="18"/>
              </w:rPr>
              <w:t xml:space="preserve"> </w:t>
            </w:r>
            <w:r>
              <w:rPr>
                <w:rFonts w:ascii="Times New Roman" w:hAnsi="Times New Roman"/>
                <w:b w:val="0"/>
                <w:sz w:val="18"/>
              </w:rPr>
              <w:t xml:space="preserve">(</w:t>
            </w:r>
            <w:hyperlink w:anchor="ref-mendozaquiroz2023">
              <w:r>
                <w:rPr>
                  <w:rStyle w:val="Hyperlink"/>
                </w:rPr>
                <w:t xml:space="preserve">2023</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1</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Mexican Caribbean</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Restoration (sexual outplants)</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V</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Vardi</w:t>
            </w:r>
            <w:r>
              <w:rPr>
                <w:rFonts w:ascii="Times New Roman" w:hAnsi="Times New Roman"/>
                <w:b w:val="0"/>
                <w:sz w:val="18"/>
              </w:rPr>
              <w:t xml:space="preserve"> </w:t>
            </w:r>
            <w:r>
              <w:rPr>
                <w:rFonts w:ascii="Times New Roman" w:hAnsi="Times New Roman"/>
                <w:b w:val="0"/>
                <w:sz w:val="18"/>
              </w:rPr>
              <w:t xml:space="preserve">(</w:t>
            </w:r>
            <w:hyperlink w:anchor="ref-vardi2011">
              <w:r>
                <w:rPr>
                  <w:rStyle w:val="Hyperlink"/>
                </w:rPr>
                <w:t xml:space="preserve">2011</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Jamaica, Puerto Rico, Virgin Gorda</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Natural</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3</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245</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86.9</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S, M</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Bruckner and Bruckner</w:t>
            </w:r>
            <w:r>
              <w:rPr>
                <w:rFonts w:ascii="Times New Roman" w:hAnsi="Times New Roman"/>
                <w:b w:val="0"/>
                <w:sz w:val="18"/>
              </w:rPr>
              <w:t xml:space="preserve"> </w:t>
            </w:r>
            <w:r>
              <w:rPr>
                <w:rFonts w:ascii="Times New Roman" w:hAnsi="Times New Roman"/>
                <w:b w:val="0"/>
                <w:sz w:val="18"/>
              </w:rPr>
              <w:t xml:space="preserve">(</w:t>
            </w:r>
            <w:hyperlink w:anchor="ref-bruckner2001">
              <w:r>
                <w:rPr>
                  <w:rStyle w:val="Hyperlink"/>
                </w:rPr>
                <w:t xml:space="preserve">2001</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Puerto Rico</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105</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90.5</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Ortiz Prosper</w:t>
            </w:r>
            <w:r>
              <w:rPr>
                <w:rFonts w:ascii="Times New Roman" w:hAnsi="Times New Roman"/>
                <w:b w:val="0"/>
                <w:sz w:val="18"/>
              </w:rPr>
              <w:t xml:space="preserve"> </w:t>
            </w:r>
            <w:r>
              <w:rPr>
                <w:rFonts w:ascii="Times New Roman" w:hAnsi="Times New Roman"/>
                <w:b w:val="0"/>
                <w:sz w:val="18"/>
              </w:rPr>
              <w:t xml:space="preserve">(</w:t>
            </w:r>
            <w:hyperlink w:anchor="ref-ortizprosper2005">
              <w:r>
                <w:rPr>
                  <w:rStyle w:val="Hyperlink"/>
                </w:rPr>
                <w:t xml:space="preserve">2005</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Puerto Rico</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207</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78.7</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Forrester et al.</w:t>
            </w:r>
            <w:r>
              <w:rPr>
                <w:rFonts w:ascii="Times New Roman" w:hAnsi="Times New Roman"/>
                <w:b w:val="0"/>
                <w:sz w:val="18"/>
              </w:rPr>
              <w:t xml:space="preserve"> </w:t>
            </w:r>
            <w:r>
              <w:rPr>
                <w:rFonts w:ascii="Times New Roman" w:hAnsi="Times New Roman"/>
                <w:b w:val="0"/>
                <w:sz w:val="18"/>
              </w:rPr>
              <w:t xml:space="preserve">(</w:t>
            </w:r>
            <w:hyperlink w:anchor="ref-forrester2013">
              <w:r>
                <w:rPr>
                  <w:rStyle w:val="Hyperlink"/>
                </w:rPr>
                <w:t xml:space="preserve">2014</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British Virgin Islands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257</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53.3</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Rosales et al.</w:t>
            </w:r>
            <w:r>
              <w:rPr>
                <w:rFonts w:ascii="Times New Roman" w:hAnsi="Times New Roman"/>
                <w:b w:val="0"/>
                <w:sz w:val="18"/>
              </w:rPr>
              <w:t xml:space="preserve"> </w:t>
            </w:r>
            <w:r>
              <w:rPr>
                <w:rFonts w:ascii="Times New Roman" w:hAnsi="Times New Roman"/>
                <w:b w:val="0"/>
                <w:sz w:val="18"/>
              </w:rPr>
              <w:t xml:space="preserve">(</w:t>
            </w:r>
            <w:hyperlink w:anchor="ref-rosales2024">
              <w:r>
                <w:rPr>
                  <w:rStyle w:val="Hyperlink"/>
                </w:rPr>
                <w:t xml:space="preserve">2024</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Florida Keys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58</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79.3</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Maurer et al.</w:t>
            </w:r>
            <w:r>
              <w:rPr>
                <w:rFonts w:ascii="Times New Roman" w:hAnsi="Times New Roman"/>
                <w:b w:val="0"/>
                <w:sz w:val="18"/>
              </w:rPr>
              <w:t xml:space="preserve"> </w:t>
            </w:r>
            <w:r>
              <w:rPr>
                <w:rFonts w:ascii="Times New Roman" w:hAnsi="Times New Roman"/>
                <w:b w:val="0"/>
                <w:sz w:val="18"/>
              </w:rPr>
              <w:t xml:space="preserve">(</w:t>
            </w:r>
            <w:hyperlink w:anchor="ref-maurer2022">
              <w:r>
                <w:rPr>
                  <w:rStyle w:val="Hyperlink"/>
                </w:rPr>
                <w:t xml:space="preserve">2022</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Bahamas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24</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95.8</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Williams and Miller</w:t>
            </w:r>
            <w:r>
              <w:rPr>
                <w:rFonts w:ascii="Times New Roman" w:hAnsi="Times New Roman"/>
                <w:b w:val="0"/>
                <w:sz w:val="18"/>
              </w:rPr>
              <w:t xml:space="preserve"> </w:t>
            </w:r>
            <w:r>
              <w:rPr>
                <w:rFonts w:ascii="Times New Roman" w:hAnsi="Times New Roman"/>
                <w:b w:val="0"/>
                <w:sz w:val="18"/>
              </w:rPr>
              <w:t xml:space="preserve">(</w:t>
            </w:r>
            <w:hyperlink w:anchor="ref-williamsmiller2010">
              <w:r>
                <w:rPr>
                  <w:rStyle w:val="Hyperlink"/>
                </w:rPr>
                <w:t xml:space="preserve">2010</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Florida Keys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18</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77.8</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Garrison and Ward</w:t>
            </w:r>
            <w:r>
              <w:rPr>
                <w:rFonts w:ascii="Times New Roman" w:hAnsi="Times New Roman"/>
                <w:b w:val="0"/>
                <w:sz w:val="18"/>
              </w:rPr>
              <w:t xml:space="preserve"> </w:t>
            </w:r>
            <w:r>
              <w:rPr>
                <w:rFonts w:ascii="Times New Roman" w:hAnsi="Times New Roman"/>
                <w:b w:val="0"/>
                <w:sz w:val="18"/>
              </w:rPr>
              <w:t xml:space="preserve">(</w:t>
            </w:r>
            <w:hyperlink w:anchor="ref-garrison2008">
              <w:r>
                <w:rPr>
                  <w:rStyle w:val="Hyperlink"/>
                </w:rPr>
                <w:t xml:space="preserve">2008</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US Virgin Islands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Natural and 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2</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75</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69.3</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Rogers and Muller</w:t>
            </w:r>
            <w:r>
              <w:rPr>
                <w:rFonts w:ascii="Times New Roman" w:hAnsi="Times New Roman"/>
                <w:b w:val="0"/>
                <w:sz w:val="18"/>
              </w:rPr>
              <w:t xml:space="preserve"> </w:t>
            </w:r>
            <w:r>
              <w:rPr>
                <w:rFonts w:ascii="Times New Roman" w:hAnsi="Times New Roman"/>
                <w:b w:val="0"/>
                <w:sz w:val="18"/>
              </w:rPr>
              <w:t xml:space="preserve">(</w:t>
            </w:r>
            <w:hyperlink w:anchor="ref-rogersmuller2012">
              <w:r>
                <w:rPr>
                  <w:rStyle w:val="Hyperlink"/>
                </w:rPr>
                <w:t xml:space="preserve">2012</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US Virgin Islands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Natural</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69</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94.2</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Ramos Romero et al.</w:t>
            </w:r>
            <w:r>
              <w:rPr>
                <w:rFonts w:ascii="Times New Roman" w:hAnsi="Times New Roman"/>
                <w:b w:val="0"/>
                <w:sz w:val="18"/>
              </w:rPr>
              <w:t xml:space="preserve"> </w:t>
            </w:r>
            <w:r>
              <w:rPr>
                <w:rFonts w:ascii="Times New Roman" w:hAnsi="Times New Roman"/>
                <w:b w:val="0"/>
                <w:sz w:val="18"/>
              </w:rPr>
              <w:t xml:space="preserve">(</w:t>
            </w:r>
            <w:hyperlink w:anchor="ref-ramosromero2025">
              <w:r>
                <w:rPr>
                  <w:rStyle w:val="Hyperlink"/>
                </w:rPr>
                <w:t xml:space="preserve">2025</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Cuba</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Restoration</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200</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70.5</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Rogers et al.</w:t>
            </w:r>
            <w:r>
              <w:rPr>
                <w:rFonts w:ascii="Times New Roman" w:hAnsi="Times New Roman"/>
                <w:b w:val="0"/>
                <w:sz w:val="18"/>
              </w:rPr>
              <w:t xml:space="preserve"> </w:t>
            </w:r>
            <w:r>
              <w:rPr>
                <w:rFonts w:ascii="Times New Roman" w:hAnsi="Times New Roman"/>
                <w:b w:val="0"/>
                <w:sz w:val="18"/>
              </w:rPr>
              <w:t xml:space="preserve">(</w:t>
            </w:r>
            <w:hyperlink w:anchor="ref-rogers1982">
              <w:r>
                <w:rPr>
                  <w:rStyle w:val="Hyperlink"/>
                </w:rPr>
                <w:t xml:space="preserve">1982</w:t>
              </w:r>
            </w:hyperlink>
            <w:r>
              <w:rPr>
                <w:rFonts w:ascii="Times New Roman" w:hAnsi="Times New Roman"/>
                <w:b w:val="0"/>
                <w:sz w:val="18"/>
              </w:rPr>
              <w:t xml:space="preserve">)</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2</w:t>
            </w: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US Virgin Islands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Natural</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173</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48.0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S</w:t>
            </w:r>
          </w:p>
        </w:tc>
      </w:tr>
      <w:tr>
        <w:tc>
          <w:tcPr>
            <w:tcW w:type="dxa" w:w="201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bCs/>
                <w:sz w:val="18"/>
              </w:rPr>
              <w:t xml:space="preserve">Total</w:t>
            </w:r>
          </w:p>
        </w:tc>
        <w:tc>
          <w:tcPr>
            <w:tcW w:type="dxa" w:w="9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pPr>
          </w:p>
        </w:tc>
        <w:tc>
          <w:tcPr>
            <w:tcW w:type="dxa" w:w="16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pP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pP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bCs/>
                <w:sz w:val="18"/>
              </w:rPr>
              <w:t xml:space="preserve">22</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bCs/>
                <w:sz w:val="18"/>
              </w:rPr>
              <w:t xml:space="preserve">8,607</w:t>
            </w:r>
          </w:p>
        </w:tc>
        <w:tc>
          <w:tcPr>
            <w:tcW w:type="dxa" w:w="100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pP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pPr>
          </w:p>
        </w:tc>
      </w:tr>
    </w:tbl>
    <w:bookmarkEnd w:id="10"/>
    <w:bookmarkStart w:id="11" w:name="study-window-disturbance-summary"/>
    <w:p>
      <w:pPr>
        <w:pStyle w:val="Heading2"/>
        <w:keepNext/>
      </w:pPr>
      <w:r>
        <w:rPr>
          <w:rFonts w:ascii="Times New Roman" w:hAnsi="Times New Roman"/>
        </w:rPr>
        <w:t xml:space="preserve">2. Study-window disturbance summary</w:t>
      </w:r>
    </w:p>
    <w:p>
      <w:pPr>
        <w:pStyle w:val="FirstParagraph"/>
        <w:spacing w:before="80" w:after="120"/>
        <w:keepNext/>
      </w:pPr>
      <w:r>
        <w:rPr>
          <w:rFonts w:ascii="Times New Roman" w:hAnsi="Times New Roman"/>
          <w:b/>
          <w:bCs/>
        </w:rPr>
        <w:t xml:space="preserve">Table S2. Curated disturbance overlap was pervasive across the demographic records.</w:t>
      </w:r>
      <w:r>
        <w:rPr>
          <w:rFonts w:ascii="Times New Roman" w:hAnsi="Times New Roman"/>
        </w:rPr>
        <w:t xml:space="preserve"> </w:t>
      </w:r>
      <w:r>
        <w:rPr>
          <w:rFonts w:ascii="Times New Roman" w:hAnsi="Times New Roman"/>
        </w:rPr>
        <w:t xml:space="preserve">The study-window summary links 1,072 prepared survival intervals from the seven Tier 1 studies to the curated disturbance timeline. Only 53 intervals (4.9%) overlapped no curated event.</w:t>
      </w:r>
      <w:r>
        <w:rPr>
          <w:rFonts w:ascii="Times New Roman" w:hAnsi="Times New Roman"/>
        </w:rPr>
        <w:t xml:space="preserve"> </w:t>
      </w:r>
      <w:r>
        <w:rPr>
          <w:rFonts w:ascii="Times New Roman" w:hAnsi="Times New Roman"/>
        </w:rPr>
        <w:t xml:space="preserve">“Baseline exclusion”</w:t>
      </w:r>
      <w:r>
        <w:rPr>
          <w:rFonts w:ascii="Times New Roman" w:hAnsi="Times New Roman"/>
        </w:rPr>
        <w:t xml:space="preserve"> </w:t>
      </w:r>
      <w:r>
        <w:rPr>
          <w:rFonts w:ascii="Times New Roman" w:hAnsi="Times New Roman"/>
        </w:rPr>
        <w:t xml:space="preserve">identifies the 297 intervals removed only in the acute-event sensitivity analysis; it does not mean that other intervals were undisturbed.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left"/>
            </w:pPr>
            <w:r>
              <w:rPr>
                <w:rFonts w:ascii="Times New Roman" w:hAnsi="Times New Roman"/>
                <w:b/>
                <w:color w:val="FFFFFF"/>
                <w:sz w:val="18"/>
              </w:rPr>
              <w:t xml:space="preserve">Study</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right"/>
            </w:pPr>
            <w:r>
              <w:rPr>
                <w:rFonts w:ascii="Times New Roman" w:hAnsi="Times New Roman"/>
                <w:b/>
                <w:color w:val="FFFFFF"/>
                <w:sz w:val="18"/>
              </w:rPr>
              <w:t xml:space="preserve">Intervals</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right"/>
            </w:pPr>
            <w:r>
              <w:rPr>
                <w:rFonts w:ascii="Times New Roman" w:hAnsi="Times New Roman"/>
                <w:b/>
                <w:color w:val="FFFFFF"/>
                <w:sz w:val="18"/>
              </w:rPr>
              <w:t xml:space="preserve">No overlap</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right"/>
            </w:pPr>
            <w:r>
              <w:rPr>
                <w:rFonts w:ascii="Times New Roman" w:hAnsi="Times New Roman"/>
                <w:b/>
                <w:color w:val="FFFFFF"/>
                <w:sz w:val="18"/>
              </w:rPr>
              <w:t xml:space="preserve">One event</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right"/>
            </w:pPr>
            <w:r>
              <w:rPr>
                <w:rFonts w:ascii="Times New Roman" w:hAnsi="Times New Roman"/>
                <w:b/>
                <w:color w:val="FFFFFF"/>
                <w:sz w:val="18"/>
              </w:rPr>
              <w:t xml:space="preserve">Two or more events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right"/>
            </w:pPr>
            <w:r>
              <w:rPr>
                <w:rFonts w:ascii="Times New Roman" w:hAnsi="Times New Roman"/>
                <w:b/>
                <w:color w:val="FFFFFF"/>
                <w:sz w:val="18"/>
              </w:rPr>
              <w:t xml:space="preserve">Baseline exclusion</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8"/>
          </w:tcPr>
          <w:p>
            <w:pPr>
              <w:pStyle w:val="Compact"/>
              <w:spacing w:after="40" w:before="40"/>
              <w:jc w:val="right"/>
            </w:pPr>
            <w:r>
              <w:rPr>
                <w:rFonts w:ascii="Times New Roman" w:hAnsi="Times New Roman"/>
                <w:b/>
                <w:color w:val="FFFFFF"/>
                <w:sz w:val="18"/>
              </w:rPr>
              <w:t xml:space="preserve">Any overlap (%)</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NOAA monitoring</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842</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50</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59</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733</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228</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94.1</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Neely et al.</w:t>
            </w:r>
            <w:r>
              <w:rPr>
                <w:rFonts w:ascii="Times New Roman" w:hAnsi="Times New Roman"/>
                <w:b w:val="0"/>
                <w:sz w:val="18"/>
              </w:rPr>
              <w:t xml:space="preserve"> </w:t>
            </w:r>
            <w:r>
              <w:rPr>
                <w:rFonts w:ascii="Times New Roman" w:hAnsi="Times New Roman"/>
                <w:b w:val="0"/>
                <w:sz w:val="18"/>
              </w:rPr>
              <w:t xml:space="preserve">(</w:t>
            </w:r>
            <w:hyperlink w:anchor="ref-neely2022">
              <w:r>
                <w:rPr>
                  <w:rStyle w:val="Hyperlink"/>
                </w:rPr>
                <w:t xml:space="preserve">2022</w:t>
              </w:r>
            </w:hyperlink>
            <w:r>
              <w:rPr>
                <w:rFonts w:ascii="Times New Roman" w:hAnsi="Times New Roman"/>
                <w:b w:val="0"/>
                <w:sz w:val="18"/>
              </w:rPr>
              <w:t xml:space="preserve">)</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98</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3</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95</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10</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96.9</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Pausch et al.</w:t>
            </w:r>
            <w:r>
              <w:rPr>
                <w:rFonts w:ascii="Times New Roman" w:hAnsi="Times New Roman"/>
                <w:b w:val="0"/>
                <w:sz w:val="18"/>
              </w:rPr>
              <w:t xml:space="preserve"> </w:t>
            </w:r>
            <w:r>
              <w:rPr>
                <w:rFonts w:ascii="Times New Roman" w:hAnsi="Times New Roman"/>
                <w:b w:val="0"/>
                <w:sz w:val="18"/>
              </w:rPr>
              <w:t xml:space="preserve">(</w:t>
            </w:r>
            <w:hyperlink w:anchor="ref-pausch2018">
              <w:r>
                <w:rPr>
                  <w:rStyle w:val="Hyperlink"/>
                </w:rPr>
                <w:t xml:space="preserve">2018</w:t>
              </w:r>
            </w:hyperlink>
            <w:r>
              <w:rPr>
                <w:rFonts w:ascii="Times New Roman" w:hAnsi="Times New Roman"/>
                <w:b w:val="0"/>
                <w:sz w:val="18"/>
              </w:rPr>
              <w:t xml:space="preserve">)</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70</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0</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70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46</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100.0</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USGS outplant experiment</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27</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0</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15</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12</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12</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100.0</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Kuffner et al.</w:t>
            </w:r>
            <w:r>
              <w:rPr>
                <w:rFonts w:ascii="Times New Roman" w:hAnsi="Times New Roman"/>
                <w:b w:val="0"/>
                <w:sz w:val="18"/>
              </w:rPr>
              <w:t xml:space="preserve"> </w:t>
            </w:r>
            <w:r>
              <w:rPr>
                <w:rFonts w:ascii="Times New Roman" w:hAnsi="Times New Roman"/>
                <w:b w:val="0"/>
                <w:sz w:val="18"/>
              </w:rPr>
              <w:t xml:space="preserve">(</w:t>
            </w:r>
            <w:hyperlink w:anchor="ref-kuffner2020">
              <w:r>
                <w:rPr>
                  <w:rStyle w:val="Hyperlink"/>
                </w:rPr>
                <w:t xml:space="preserve">2020</w:t>
              </w:r>
            </w:hyperlink>
            <w:r>
              <w:rPr>
                <w:rFonts w:ascii="Times New Roman" w:hAnsi="Times New Roman"/>
                <w:b w:val="0"/>
                <w:sz w:val="18"/>
              </w:rPr>
              <w:t xml:space="preserve">)</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27</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0</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27</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0</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100.0</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sz w:val="18"/>
              </w:rPr>
              <w:t xml:space="preserve">Mendoza Quiroz et al.</w:t>
            </w:r>
            <w:r>
              <w:rPr>
                <w:rFonts w:ascii="Times New Roman" w:hAnsi="Times New Roman"/>
                <w:b w:val="0"/>
                <w:sz w:val="18"/>
              </w:rPr>
              <w:t xml:space="preserve"> </w:t>
            </w:r>
            <w:r>
              <w:rPr>
                <w:rFonts w:ascii="Times New Roman" w:hAnsi="Times New Roman"/>
                <w:b w:val="0"/>
                <w:sz w:val="18"/>
              </w:rPr>
              <w:t xml:space="preserve">(</w:t>
            </w:r>
            <w:hyperlink w:anchor="ref-mendozaquiroz2023">
              <w:r>
                <w:rPr>
                  <w:rStyle w:val="Hyperlink"/>
                </w:rPr>
                <w:t xml:space="preserve">2023</w:t>
              </w:r>
            </w:hyperlink>
            <w:r>
              <w:rPr>
                <w:rFonts w:ascii="Times New Roman" w:hAnsi="Times New Roman"/>
                <w:b w:val="0"/>
                <w:sz w:val="18"/>
              </w:rPr>
              <w:t xml:space="preserve">)</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7</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0</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7</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0</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sz w:val="18"/>
              </w:rPr>
              <w:t xml:space="preserve">100.0</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left"/>
            </w:pPr>
            <w:r>
              <w:rPr>
                <w:rFonts w:ascii="Times New Roman" w:hAnsi="Times New Roman"/>
                <w:b w:val="0"/>
                <w:sz w:val="18"/>
              </w:rPr>
              <w:t xml:space="preserve">FUNDEMAR fragments</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0</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pStyle w:val="Compact"/>
              <w:spacing w:after="40" w:before="40"/>
              <w:jc w:val="right"/>
            </w:pPr>
            <w:r>
              <w:rPr>
                <w:rFonts w:ascii="Times New Roman" w:hAnsi="Times New Roman"/>
                <w:b w:val="0"/>
                <w:sz w:val="18"/>
              </w:rPr>
              <w:t xml:space="preserve">100.0</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left"/>
            </w:pPr>
            <w:r>
              <w:rPr>
                <w:rFonts w:ascii="Times New Roman" w:hAnsi="Times New Roman"/>
                <w:b w:val="0"/>
                <w:bCs/>
                <w:sz w:val="18"/>
              </w:rPr>
              <w:t xml:space="preserve">Total</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bCs/>
                <w:sz w:val="18"/>
              </w:rPr>
              <w:t xml:space="preserve">1,072</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bCs/>
                <w:sz w:val="18"/>
              </w:rPr>
              <w:t xml:space="preserve">53</w:t>
            </w:r>
          </w:p>
        </w:tc>
        <w:tc>
          <w:tcPr>
            <w:tcW w:type="dxa" w:w="12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bCs/>
                <w:sz w:val="18"/>
              </w:rPr>
              <w:t xml:space="preserve">74</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bCs/>
                <w:sz w:val="18"/>
              </w:rPr>
              <w:t xml:space="preserve">945</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bCs/>
                <w:sz w:val="18"/>
              </w:rPr>
              <w:t xml:space="preserve">297</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2F8"/>
          </w:tcPr>
          <w:p>
            <w:pPr>
              <w:pStyle w:val="Compact"/>
              <w:spacing w:after="40" w:before="40"/>
              <w:jc w:val="right"/>
            </w:pPr>
            <w:r>
              <w:rPr>
                <w:rFonts w:ascii="Times New Roman" w:hAnsi="Times New Roman"/>
                <w:b w:val="0"/>
                <w:bCs/>
                <w:sz w:val="18"/>
              </w:rPr>
              <w:t xml:space="preserve">95.1</w:t>
            </w:r>
          </w:p>
        </w:tc>
      </w:tr>
    </w:tbl>
    <w:p>
      <w:pPr>
        <w:pStyle w:val="BodyText"/>
      </w:pPr>
      <w:r>
        <w:rPr>
          <w:rFonts w:ascii="Times New Roman" w:hAnsi="Times New Roman"/>
        </w:rPr>
        <w:t xml:space="preserve">The linkage produced zero field mismatches. Full disturbance chronology, interval-level assignments, and extended diagnostics are available in the project repository.</w:t>
      </w:r>
    </w:p>
    <w:bookmarkEnd w:id="11"/>
    <w:bookmarkStart w:id="15" w:name="growth-size-diagnostics"/>
    <w:p>
      <w:pPr>
        <w:pStyle w:val="Heading2"/>
        <w:keepNext/>
      </w:pPr>
      <w:r>
        <w:rPr>
          <w:rFonts w:ascii="Times New Roman" w:hAnsi="Times New Roman"/>
        </w:rPr>
        <w:t xml:space="preserve">3. Growth-size diagnostics</w:t>
      </w:r>
    </w:p>
    <w:p>
      <w:pPr>
        <w:pStyle w:val="FirstParagraph"/>
        <w:spacing w:before="80" w:after="120"/>
        <w:keepNext/>
      </w:pPr>
      <w:r>
        <w:rPr>
          <w:rFonts w:ascii="Times New Roman" w:hAnsi="Times New Roman"/>
          <w:b/>
          <w:bCs/>
        </w:rPr>
        <w:t xml:space="preserve">Fig. S1. Survival and growth change with colony size at different points in ontogeny.</w:t>
      </w:r>
      <w:r>
        <w:rPr>
          <w:rFonts w:ascii="Times New Roman" w:hAnsi="Times New Roman"/>
        </w:rPr>
        <w:t xml:space="preserve"> </w:t>
      </w:r>
      <w:r>
        <w:rPr>
          <w:rFonts w:ascii="Times New Roman" w:hAnsi="Times New Roman"/>
        </w:rPr>
        <w:t xml:space="preserve">(a) Annual survival against log live planar area; the label gives the improvement of the GAM over a linear model (ΔAICc = 17.9; the pre-specified gate for reporting a threshold was 2). (b) Probability of positive growth; the dashed line marks the supported threshold (411 cm²). (c) Second derivative of the relative-growth-rate GAM; the dashed line marks the steepest change in curvature (37 cm²). (d, e) Absolute growth rate (AGR, cm² yr⁻¹) and relative growth rate (RGR, yr⁻¹) against colony size. (f) Probability of positive growth fitted with a lower-dimension smooth (</w:t>
      </w:r>
      <w:r>
        <w:rPr>
          <w:rFonts w:ascii="Times New Roman" w:hAnsi="Times New Roman"/>
          <w:i/>
          <w:iCs/>
        </w:rPr>
        <w:t xml:space="preserve">k</w:t>
      </w:r>
      <w:r>
        <w:rPr>
          <w:rFonts w:ascii="Times New Roman" w:hAnsi="Times New Roman"/>
        </w:rPr>
        <w:t xml:space="preserve"> </w:t>
      </w:r>
      <w:r>
        <w:rPr>
          <w:rFonts w:ascii="Times New Roman" w:hAnsi="Times New Roman"/>
        </w:rPr>
        <w:t xml:space="preserve">= 3), which captures the broad U-shaped trend but not the dome detected in panel b. (g) Standard deviation of AGR and RGR within size bins on a log scale: AGR variance rose by more than two orders of magnitude across the size range, whereas RGR variance declined. Points are binned observations, lines are GAM fits, and ribbons or error bars are 95% confidence intervals. Analyses exclude the upper and lower 0.5% of relative-growth values to limit leverage by extreme proportional changes and exclude high-variance Navassa records.</w:t>
      </w:r>
    </w:p>
    <w:p>
      <w:pPr>
        <w:pStyle w:val="BodyText"/>
      </w:pPr>
      <w:r>
        <w:rPr>
          <w:rFonts w:ascii="Times New Roman" w:hAnsi="Times New Roman"/>
        </w:rPr>
        <w:drawing>
          <wp:inline>
            <wp:extent cx="3544100" cy="4679999"/>
            <wp:effectExtent b="0" l="0" r="0" t="0"/>
            <wp:docPr descr="Picture" title="" id="13" name="Picture"/>
            <a:graphic>
              <a:graphicData uri="http://schemas.openxmlformats.org/drawingml/2006/picture">
                <pic:pic>
                  <pic:nvPicPr>
                    <pic:cNvPr descr="/tmp/esm_word_figures.d7eU5u/FigS1_growth_diagnostics.png" id="14" name="Picture"/>
                    <pic:cNvPicPr>
                      <a:picLocks noChangeArrowheads="1" noChangeAspect="1"/>
                    </pic:cNvPicPr>
                  </pic:nvPicPr>
                  <pic:blipFill>
                    <a:blip r:embed="rId12"/>
                    <a:stretch>
                      <a:fillRect/>
                    </a:stretch>
                  </pic:blipFill>
                  <pic:spPr bwMode="auto">
                    <a:xfrm>
                      <a:off x="0" y="0"/>
                      <a:ext cx="3544100" cy="4679999"/>
                    </a:xfrm>
                    <a:prstGeom prst="rect">
                      <a:avLst/>
                    </a:prstGeom>
                    <a:noFill/>
                    <a:ln w="9525">
                      <a:noFill/>
                      <a:headEnd/>
                      <a:tailEnd/>
                    </a:ln>
                  </pic:spPr>
                </pic:pic>
              </a:graphicData>
            </a:graphic>
          </wp:inline>
        </w:drawing>
      </w:r>
    </w:p>
    <w:bookmarkEnd w:id="15"/>
    <w:bookmarkStart w:id="19" w:name="population-origin-and-study-identity"/>
    <w:p>
      <w:pPr>
        <w:pStyle w:val="Heading2"/>
        <w:keepNext/>
      </w:pPr>
      <w:r>
        <w:rPr>
          <w:rFonts w:ascii="Times New Roman" w:hAnsi="Times New Roman"/>
        </w:rPr>
        <w:t xml:space="preserve">4. Population origin and study identity</w:t>
      </w:r>
    </w:p>
    <w:p>
      <w:pPr>
        <w:pStyle w:val="FirstParagraph"/>
        <w:spacing w:before="80" w:after="120"/>
        <w:keepNext/>
      </w:pPr>
      <w:r>
        <w:rPr>
          <w:rFonts w:ascii="Times New Roman" w:hAnsi="Times New Roman"/>
          <w:b/>
          <w:bCs/>
        </w:rPr>
        <w:t xml:space="preserve">Fig. S2. Natural-colony and restoration-fragment comparisons are confounded by study identity and a narrow shared size range.</w:t>
      </w:r>
      <w:r>
        <w:rPr>
          <w:rFonts w:ascii="Times New Roman" w:hAnsi="Times New Roman"/>
        </w:rPr>
        <w:t xml:space="preserve"> </w:t>
      </w:r>
      <w:r>
        <w:rPr>
          <w:rFonts w:ascii="Times New Roman" w:hAnsi="Times New Roman"/>
        </w:rPr>
        <w:t xml:space="preserve">Each facet shows one Tier 1 study within the size range shared by natural and restoration records. (a) Annual survival and (b) relative growth rate (yr⁻¹) against initial live tissue area (cm²). Points are observations, coloured lines are study-specific binomial GLM (a) or linear model (b) fits on log size, shaded bands are 95% confidence intervals, and labels give population type and sample size. The shared range (11–202 cm²) is small relative to the full 1–15,000 cm² range, and within it survival slopes differed in sign among studies, so this comparison is descriptive rather than a causal estimate of restoration origin.</w:t>
      </w:r>
    </w:p>
    <w:p>
      <w:pPr>
        <w:pStyle w:val="BodyText"/>
      </w:pPr>
      <w:r>
        <w:rPr>
          <w:rFonts w:ascii="Times New Roman" w:hAnsi="Times New Roman"/>
        </w:rPr>
        <w:drawing>
          <wp:inline>
            <wp:extent cx="5334000" cy="4282773"/>
            <wp:effectExtent b="0" l="0" r="0" t="0"/>
            <wp:docPr descr="Picture" title="" id="17" name="Picture"/>
            <a:graphic>
              <a:graphicData uri="http://schemas.openxmlformats.org/drawingml/2006/picture">
                <pic:pic>
                  <pic:nvPicPr>
                    <pic:cNvPr descr="/tmp/esm_word_figures.d7eU5u/FigS8_natural_vs_restoration.png" id="18" name="Picture"/>
                    <pic:cNvPicPr>
                      <a:picLocks noChangeArrowheads="1" noChangeAspect="1"/>
                    </pic:cNvPicPr>
                  </pic:nvPicPr>
                  <pic:blipFill>
                    <a:blip r:embed="rId16"/>
                    <a:stretch>
                      <a:fillRect/>
                    </a:stretch>
                  </pic:blipFill>
                  <pic:spPr bwMode="auto">
                    <a:xfrm>
                      <a:off x="0" y="0"/>
                      <a:ext cx="5334000" cy="4282773"/>
                    </a:xfrm>
                    <a:prstGeom prst="rect">
                      <a:avLst/>
                    </a:prstGeom>
                    <a:noFill/>
                    <a:ln w="9525">
                      <a:noFill/>
                      <a:headEnd/>
                      <a:tailEnd/>
                    </a:ln>
                  </pic:spPr>
                </pic:pic>
              </a:graphicData>
            </a:graphic>
          </wp:inline>
        </w:drawing>
      </w:r>
    </w:p>
    <w:bookmarkEnd w:id="19"/>
    <w:bookmarkStart w:id="23" w:name="shrinkage-and-retrogression"/>
    <w:p>
      <w:pPr>
        <w:pStyle w:val="Heading2"/>
        <w:keepNext/>
      </w:pPr>
      <w:r>
        <w:rPr>
          <w:rFonts w:ascii="Times New Roman" w:hAnsi="Times New Roman"/>
        </w:rPr>
        <w:t xml:space="preserve">5. Shrinkage and retrogression</w:t>
      </w:r>
    </w:p>
    <w:p>
      <w:pPr>
        <w:pStyle w:val="FirstParagraph"/>
        <w:spacing w:before="80" w:after="120"/>
        <w:keepNext/>
      </w:pPr>
      <w:r>
        <w:rPr>
          <w:rFonts w:ascii="Times New Roman" w:hAnsi="Times New Roman"/>
          <w:b/>
          <w:bCs/>
        </w:rPr>
        <w:t xml:space="preserve">Fig. S3. Large colonies commonly survived while losing tissue, and every non-recruit class moved backward through the size structure.</w:t>
      </w:r>
      <w:r>
        <w:rPr>
          <w:rFonts w:ascii="Times New Roman" w:hAnsi="Times New Roman"/>
        </w:rPr>
        <w:t xml:space="preserve"> </w:t>
      </w:r>
      <w:r>
        <w:rPr>
          <w:rFonts w:ascii="Times New Roman" w:hAnsi="Times New Roman"/>
        </w:rPr>
        <w:t xml:space="preserve">(a) Shrinkage frequency among surviving colonies by size class, rising from 18.2% in SC1 to 47.5% in SC5. (b) Mean annual tissue loss among shrinking colonies (cm² yr⁻¹). (c) Observed annual transition probabilities (growth, stasis, retrogression) by initial size class; labels give retrogression probabilities. (d) Shrinkage frequency by study; point colour gives mean tissue loss and point size the number of records. The analysis uses matrix-compatible records of surviving colonies with paired size observations.</w:t>
      </w:r>
    </w:p>
    <w:p>
      <w:pPr>
        <w:pStyle w:val="BodyText"/>
      </w:pPr>
      <w:r>
        <w:rPr>
          <w:rFonts w:ascii="Times New Roman" w:hAnsi="Times New Roman"/>
        </w:rPr>
        <w:drawing>
          <wp:inline>
            <wp:extent cx="5334000" cy="5203039"/>
            <wp:effectExtent b="0" l="0" r="0" t="0"/>
            <wp:docPr descr="Picture" title="" id="21" name="Picture"/>
            <a:graphic>
              <a:graphicData uri="http://schemas.openxmlformats.org/drawingml/2006/picture">
                <pic:pic>
                  <pic:nvPicPr>
                    <pic:cNvPr descr="/tmp/esm_word_figures.d7eU5u/FigS16_shrinkage_retrogression_summary.png" id="22" name="Picture"/>
                    <pic:cNvPicPr>
                      <a:picLocks noChangeArrowheads="1" noChangeAspect="1"/>
                    </pic:cNvPicPr>
                  </pic:nvPicPr>
                  <pic:blipFill>
                    <a:blip r:embed="rId20"/>
                    <a:stretch>
                      <a:fillRect/>
                    </a:stretch>
                  </pic:blipFill>
                  <pic:spPr bwMode="auto">
                    <a:xfrm>
                      <a:off x="0" y="0"/>
                      <a:ext cx="5334000" cy="5203039"/>
                    </a:xfrm>
                    <a:prstGeom prst="rect">
                      <a:avLst/>
                    </a:prstGeom>
                    <a:noFill/>
                    <a:ln w="9525">
                      <a:noFill/>
                      <a:headEnd/>
                      <a:tailEnd/>
                    </a:ln>
                  </pic:spPr>
                </pic:pic>
              </a:graphicData>
            </a:graphic>
          </wp:inline>
        </w:drawing>
      </w:r>
    </w:p>
    <w:bookmarkEnd w:id="23"/>
    <w:bookmarkStart w:id="27" w:name="disturbance-and-size-dependent-survival"/>
    <w:p>
      <w:pPr>
        <w:pStyle w:val="Heading2"/>
        <w:keepNext/>
      </w:pPr>
      <w:r>
        <w:rPr>
          <w:rFonts w:ascii="Times New Roman" w:hAnsi="Times New Roman"/>
        </w:rPr>
        <w:t xml:space="preserve">6. Disturbance and size-dependent survival</w:t>
      </w:r>
    </w:p>
    <w:p>
      <w:pPr>
        <w:pStyle w:val="FirstParagraph"/>
        <w:spacing w:before="80" w:after="120"/>
        <w:keepNext/>
      </w:pPr>
      <w:r>
        <w:rPr>
          <w:rFonts w:ascii="Times New Roman" w:hAnsi="Times New Roman"/>
          <w:b/>
          <w:bCs/>
        </w:rPr>
        <w:t xml:space="preserve">Fig. S4. The relationship between size and survival differed among curated disturbance states, but not as a simple disturbance penalty.</w:t>
      </w:r>
      <w:r>
        <w:rPr>
          <w:rFonts w:ascii="Times New Roman" w:hAnsi="Times New Roman"/>
        </w:rPr>
        <w:t xml:space="preserve"> </w:t>
      </w:r>
      <w:r>
        <w:rPr>
          <w:rFonts w:ascii="Times New Roman" w:hAnsi="Times New Roman"/>
        </w:rPr>
        <w:t xml:space="preserve">Tiles give observed (a) annual survival and (b) probability of positive growth by size class and disturbance state for natural colonies (</w:t>
      </w:r>
      <w:r>
        <w:rPr>
          <w:rFonts w:ascii="Times New Roman" w:hAnsi="Times New Roman"/>
          <w:i/>
          <w:iCs/>
        </w:rPr>
        <w:t xml:space="preserve">n</w:t>
      </w:r>
      <w:r>
        <w:rPr>
          <w:rFonts w:ascii="Times New Roman" w:hAnsi="Times New Roman"/>
        </w:rPr>
        <w:t xml:space="preserve"> </w:t>
      </w:r>
      <w:r>
        <w:rPr>
          <w:rFonts w:ascii="Times New Roman" w:hAnsi="Times New Roman"/>
        </w:rPr>
        <w:t xml:space="preserve">= 6,141 survival records). Tile labels are percentages. The size-by-state interaction was supported for survival (likelihood-ratio test,</w:t>
      </w:r>
      <w:r>
        <w:rPr>
          <w:rFonts w:ascii="Times New Roman" w:hAnsi="Times New Roman"/>
        </w:rPr>
        <w:t xml:space="preserve"> </w:t>
      </w:r>
      <w:r>
        <w:rPr>
          <w:rFonts w:ascii="Times New Roman" w:hAnsi="Times New Roman"/>
          <w:i/>
          <w:iCs/>
        </w:rPr>
        <w:t xml:space="preserve">p</w:t>
      </w:r>
      <w:r>
        <w:rPr>
          <w:rFonts w:ascii="Times New Roman" w:hAnsi="Times New Roman"/>
        </w:rPr>
        <w:t xml:space="preserve"> </w:t>
      </w:r>
      <w:r>
        <w:rPr>
          <w:rFonts w:ascii="Times New Roman" w:hAnsi="Times New Roman"/>
        </w:rPr>
        <w:t xml:space="preserve">&lt; 0.001) and weaker for positive growth (</w:t>
      </w:r>
      <w:r>
        <w:rPr>
          <w:rFonts w:ascii="Times New Roman" w:hAnsi="Times New Roman"/>
          <w:i/>
          <w:iCs/>
        </w:rPr>
        <w:t xml:space="preserve">p</w:t>
      </w:r>
      <w:r>
        <w:rPr>
          <w:rFonts w:ascii="Times New Roman" w:hAnsi="Times New Roman"/>
        </w:rPr>
        <w:t xml:space="preserve"> </w:t>
      </w:r>
      <w:r>
        <w:rPr>
          <w:rFonts w:ascii="Times New Roman" w:hAnsi="Times New Roman"/>
        </w:rPr>
        <w:t xml:space="preserve">= 0.010). Large colonies survived better in intervals flagged for acute events (SC5, 98.0%,</w:t>
      </w:r>
      <w:r>
        <w:rPr>
          <w:rFonts w:ascii="Times New Roman" w:hAnsi="Times New Roman"/>
        </w:rPr>
        <w:t xml:space="preserve"> </w:t>
      </w:r>
      <w:r>
        <w:rPr>
          <w:rFonts w:ascii="Times New Roman" w:hAnsi="Times New Roman"/>
          <w:i/>
          <w:iCs/>
        </w:rPr>
        <w:t xml:space="preserve">n</w:t>
      </w:r>
      <w:r>
        <w:rPr>
          <w:rFonts w:ascii="Times New Roman" w:hAnsi="Times New Roman"/>
        </w:rPr>
        <w:t xml:space="preserve"> </w:t>
      </w:r>
      <w:r>
        <w:rPr>
          <w:rFonts w:ascii="Times New Roman" w:hAnsi="Times New Roman"/>
        </w:rPr>
        <w:t xml:space="preserve">= 409) than in intervals with no curated event (SC5, 83.9%,</w:t>
      </w:r>
      <w:r>
        <w:rPr>
          <w:rFonts w:ascii="Times New Roman" w:hAnsi="Times New Roman"/>
        </w:rPr>
        <w:t xml:space="preserve"> </w:t>
      </w:r>
      <w:r>
        <w:rPr>
          <w:rFonts w:ascii="Times New Roman" w:hAnsi="Times New Roman"/>
          <w:i/>
          <w:iCs/>
        </w:rPr>
        <w:t xml:space="preserve">n</w:t>
      </w:r>
      <w:r>
        <w:rPr>
          <w:rFonts w:ascii="Times New Roman" w:hAnsi="Times New Roman"/>
        </w:rPr>
        <w:t xml:space="preserve"> </w:t>
      </w:r>
      <w:r>
        <w:rPr>
          <w:rFonts w:ascii="Times New Roman" w:hAnsi="Times New Roman"/>
        </w:rPr>
        <w:t xml:space="preserve">= 193). The no-disturbance category contained only 353 records, including a single SC1 colony, so its SC1 tile is not interpretable. Disturbance states are observational and confounded with study, site, and survey period.</w:t>
      </w:r>
    </w:p>
    <w:p>
      <w:pPr>
        <w:pStyle w:val="BodyText"/>
      </w:pPr>
      <w:r>
        <w:rPr>
          <w:rFonts w:ascii="Times New Roman" w:hAnsi="Times New Roman"/>
        </w:rPr>
        <w:drawing>
          <wp:inline>
            <wp:extent cx="5334000" cy="4282773"/>
            <wp:effectExtent b="0" l="0" r="0" t="0"/>
            <wp:docPr descr="Picture" title="" id="25" name="Picture"/>
            <a:graphic>
              <a:graphicData uri="http://schemas.openxmlformats.org/drawingml/2006/picture">
                <pic:pic>
                  <pic:nvPicPr>
                    <pic:cNvPr descr="/tmp/esm_word_figures.d7eU5u/FigS17_disturbance_size_interaction.png" id="26" name="Picture"/>
                    <pic:cNvPicPr>
                      <a:picLocks noChangeArrowheads="1" noChangeAspect="1"/>
                    </pic:cNvPicPr>
                  </pic:nvPicPr>
                  <pic:blipFill>
                    <a:blip r:embed="rId24"/>
                    <a:stretch>
                      <a:fillRect/>
                    </a:stretch>
                  </pic:blipFill>
                  <pic:spPr bwMode="auto">
                    <a:xfrm>
                      <a:off x="0" y="0"/>
                      <a:ext cx="5334000" cy="4282773"/>
                    </a:xfrm>
                    <a:prstGeom prst="rect">
                      <a:avLst/>
                    </a:prstGeom>
                    <a:noFill/>
                    <a:ln w="9525">
                      <a:noFill/>
                      <a:headEnd/>
                      <a:tailEnd/>
                    </a:ln>
                  </pic:spPr>
                </pic:pic>
              </a:graphicData>
            </a:graphic>
          </wp:inline>
        </w:drawing>
      </w:r>
    </w:p>
    <w:bookmarkEnd w:id="27"/>
    <w:bookmarkStart w:id="31" w:name="restoration-subtype-sensitivity"/>
    <w:p>
      <w:pPr>
        <w:pStyle w:val="Heading2"/>
        <w:keepNext/>
      </w:pPr>
      <w:r>
        <w:rPr>
          <w:rFonts w:ascii="Times New Roman" w:hAnsi="Times New Roman"/>
        </w:rPr>
        <w:t xml:space="preserve">7. Restoration subtype sensitivity</w:t>
      </w:r>
    </w:p>
    <w:p>
      <w:pPr>
        <w:pStyle w:val="FirstParagraph"/>
        <w:spacing w:before="80" w:after="120"/>
        <w:keepNext/>
      </w:pPr>
      <w:r>
        <w:rPr>
          <w:rFonts w:ascii="Times New Roman" w:hAnsi="Times New Roman"/>
          <w:b/>
          <w:bCs/>
        </w:rPr>
        <w:t xml:space="preserve">Fig. S5. Apparent restoration performance depends on the biological material grouped under that label.</w:t>
      </w:r>
      <w:r>
        <w:rPr>
          <w:rFonts w:ascii="Times New Roman" w:hAnsi="Times New Roman"/>
        </w:rPr>
        <w:t xml:space="preserve"> </w:t>
      </w:r>
      <w:r>
        <w:rPr>
          <w:rFonts w:ascii="Times New Roman" w:hAnsi="Times New Roman"/>
        </w:rPr>
        <w:t xml:space="preserve">(a) Annual survival and (b) mean relative growth rate (yr⁻¹) for naturally occurring fragments (3,968 records, one study), nursery outplants (1,012 records, two studies), nursery outplants re-cemented after fragmentation (53 records, one study), and outplanted colonies (46 records, one study). Open circles are study summaries, with symbol size proportional to records; filled diamonds are record-weighted subtype means, and horizontal lines span the study summaries. These contrasts are descriptive because subtype, study, site, handling, and sample size are not independently balanced.</w:t>
      </w:r>
    </w:p>
    <w:p>
      <w:pPr>
        <w:pStyle w:val="BodyText"/>
      </w:pPr>
      <w:r>
        <w:rPr>
          <w:rFonts w:ascii="Times New Roman" w:hAnsi="Times New Roman"/>
        </w:rPr>
        <w:drawing>
          <wp:inline>
            <wp:extent cx="5334000" cy="4597787"/>
            <wp:effectExtent b="0" l="0" r="0" t="0"/>
            <wp:docPr descr="Picture" title="" id="29" name="Picture"/>
            <a:graphic>
              <a:graphicData uri="http://schemas.openxmlformats.org/drawingml/2006/picture">
                <pic:pic>
                  <pic:nvPicPr>
                    <pic:cNvPr descr="/tmp/esm_word_figures.d7eU5u/FigS19_restoration_subtype_sensitivity.png" id="30" name="Picture"/>
                    <pic:cNvPicPr>
                      <a:picLocks noChangeArrowheads="1" noChangeAspect="1"/>
                    </pic:cNvPicPr>
                  </pic:nvPicPr>
                  <pic:blipFill>
                    <a:blip r:embed="rId28"/>
                    <a:stretch>
                      <a:fillRect/>
                    </a:stretch>
                  </pic:blipFill>
                  <pic:spPr bwMode="auto">
                    <a:xfrm>
                      <a:off x="0" y="0"/>
                      <a:ext cx="5334000" cy="4597787"/>
                    </a:xfrm>
                    <a:prstGeom prst="rect">
                      <a:avLst/>
                    </a:prstGeom>
                    <a:noFill/>
                    <a:ln w="9525">
                      <a:noFill/>
                      <a:headEnd/>
                      <a:tailEnd/>
                    </a:ln>
                  </pic:spPr>
                </pic:pic>
              </a:graphicData>
            </a:graphic>
          </wp:inline>
        </w:drawing>
      </w:r>
    </w:p>
    <w:bookmarkEnd w:id="31"/>
    <w:bookmarkStart w:id="35" w:name="florida-scale-heatwave-scenarios"/>
    <w:p>
      <w:pPr>
        <w:pStyle w:val="Heading2"/>
        <w:keepNext/>
      </w:pPr>
      <w:r>
        <w:rPr>
          <w:rFonts w:ascii="Times New Roman" w:hAnsi="Times New Roman"/>
        </w:rPr>
        <w:t xml:space="preserve">8. Florida-scale heatwave scenarios</w:t>
      </w:r>
    </w:p>
    <w:p>
      <w:pPr>
        <w:pStyle w:val="FirstParagraph"/>
        <w:spacing w:before="80" w:after="120"/>
        <w:keepNext/>
      </w:pPr>
      <w:r>
        <w:rPr>
          <w:rFonts w:ascii="Times New Roman" w:hAnsi="Times New Roman"/>
          <w:b/>
          <w:bCs/>
        </w:rPr>
        <w:t xml:space="preserve">Fig. S6. Recurrence of Florida-scale heatwave mortality drives effective lambda far below one in the recruitment-free transition subsystem.</w:t>
      </w:r>
      <w:r>
        <w:rPr>
          <w:rFonts w:ascii="Times New Roman" w:hAnsi="Times New Roman"/>
        </w:rPr>
        <w:t xml:space="preserve"> </w:t>
      </w:r>
      <w:r>
        <w:rPr>
          <w:rFonts w:ascii="Times New Roman" w:hAnsi="Times New Roman"/>
        </w:rPr>
        <w:t xml:space="preserve">(a) Logistic mortality curve parameterized from the</w:t>
      </w:r>
      <w:r>
        <w:rPr>
          <w:rFonts w:ascii="Times New Roman" w:hAnsi="Times New Roman"/>
        </w:rPr>
        <w:t xml:space="preserve"> </w:t>
      </w:r>
      <w:r>
        <w:rPr>
          <w:rFonts w:ascii="Times New Roman" w:hAnsi="Times New Roman"/>
          <w:i/>
          <w:iCs/>
        </w:rPr>
        <w:t xml:space="preserve">A. palmata</w:t>
      </w:r>
      <w:r>
        <w:rPr>
          <w:rFonts w:ascii="Times New Roman" w:hAnsi="Times New Roman"/>
        </w:rPr>
        <w:t xml:space="preserve"> </w:t>
      </w:r>
      <w:r>
        <w:rPr>
          <w:rFonts w:ascii="Times New Roman" w:hAnsi="Times New Roman"/>
        </w:rPr>
        <w:t xml:space="preserve">DHW thresholds reported by Manzello et al.</w:t>
      </w:r>
      <w:r>
        <w:rPr>
          <w:rFonts w:ascii="Times New Roman" w:hAnsi="Times New Roman"/>
        </w:rPr>
        <w:t xml:space="preserve"> </w:t>
      </w:r>
      <w:r>
        <w:rPr>
          <w:rFonts w:ascii="Times New Roman" w:hAnsi="Times New Roman"/>
        </w:rPr>
        <w:t xml:space="preserve">(</w:t>
      </w:r>
      <w:hyperlink w:anchor="ref-manzello2025">
        <w:r>
          <w:rPr>
            <w:rStyle w:val="Hyperlink"/>
          </w:rPr>
          <w:t xml:space="preserve">2025</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(ED50 = 7.8 DHW; ED95 = 17.6 DHW); the shaded range marks the 16–20 DHW exposure in the Florida Keys in 2023. (b) Median 50-year trajectories and 95% simulation intervals without heatwaves and for the observed 2023 Florida endpoint (97.8–100% mortality) at four return intervals; the dashed line marks the quasi-extinction threshold of 10% of initial abundance. (c) Effective lambda across dose-response and observed-endpoint scenarios; bars are geometric means from the bootstrap-based simulations, and the dotted line is the unperturbed deterministic lambda (0.961). Without heatwaves, the simulations had an effective lambda of 0.933 and a 70.8% probability of quasi-extinction within 50 years; every observed-endpoint scenario reached quasi-extinction in all simulations. The 5-, 10-, 20-, and 50-year intervals span frequent to rare recurrence and are sensitivity values, not estimated return periods. These are Florida-like event stress tests, not Caribbean-wide forecasts.</w:t>
      </w:r>
    </w:p>
    <w:p>
      <w:pPr>
        <w:pStyle w:val="BodyText"/>
      </w:pPr>
      <w:r>
        <w:rPr>
          <w:rFonts w:ascii="Times New Roman" w:hAnsi="Times New Roman"/>
        </w:rPr>
        <w:drawing>
          <wp:inline>
            <wp:extent cx="5334000" cy="5518053"/>
            <wp:effectExtent b="0" l="0" r="0" t="0"/>
            <wp:docPr descr="Picture" title="" id="33" name="Picture"/>
            <a:graphic>
              <a:graphicData uri="http://schemas.openxmlformats.org/drawingml/2006/picture">
                <pic:pic>
                  <pic:nvPicPr>
                    <pic:cNvPr descr="/tmp/esm_word_figures.d7eU5u/FigS22_heatwave_scenarios.png" id="34" name="Picture"/>
                    <pic:cNvPicPr>
                      <a:picLocks noChangeArrowheads="1" noChangeAspect="1"/>
                    </pic:cNvPicPr>
                  </pic:nvPicPr>
                  <pic:blipFill>
                    <a:blip r:embed="rId32"/>
                    <a:stretch>
                      <a:fillRect/>
                    </a:stretch>
                  </pic:blipFill>
                  <pic:spPr bwMode="auto">
                    <a:xfrm>
                      <a:off x="0" y="0"/>
                      <a:ext cx="5334000" cy="5518053"/>
                    </a:xfrm>
                    <a:prstGeom prst="rect">
                      <a:avLst/>
                    </a:prstGeom>
                    <a:noFill/>
                    <a:ln w="9525">
                      <a:noFill/>
                      <a:headEnd/>
                      <a:tailEnd/>
                    </a:ln>
                  </pic:spPr>
                </pic:pic>
              </a:graphicData>
            </a:graphic>
          </wp:inline>
        </w:drawing>
      </w:r>
    </w:p>
    <w:bookmarkEnd w:id="35"/>
    <w:bookmarkStart w:id="66" w:name="references"/>
    <w:p>
      <w:pPr>
        <w:pStyle w:val="Heading2"/>
        <w:keepNext/>
      </w:pPr>
      <w:r>
        <w:rPr>
          <w:rFonts w:ascii="Times New Roman" w:hAnsi="Times New Roman"/>
        </w:rPr>
        <w:t xml:space="preserve">References</w:t>
      </w:r>
    </w:p>
    <w:bookmarkStart w:id="65" w:name="refs"/>
    <w:bookmarkStart w:id="37" w:name="ref-bruckner2001"/>
    <w:p>
      <w:pPr>
        <w:pStyle w:val="Bibliography"/>
      </w:pPr>
      <w:r>
        <w:rPr>
          <w:rFonts w:ascii="Times New Roman" w:hAnsi="Times New Roman"/>
        </w:rPr>
        <w:t xml:space="preserve">Bruckner, A. W., and R. J. Bruckner. 2001.</w:t>
      </w:r>
      <w:r>
        <w:rPr>
          <w:rFonts w:ascii="Times New Roman" w:hAnsi="Times New Roman"/>
        </w:rPr>
        <w:t xml:space="preserve"> </w:t>
      </w:r>
      <w:r>
        <w:rPr>
          <w:rFonts w:ascii="Times New Roman" w:hAnsi="Times New Roman"/>
        </w:rPr>
        <w:t xml:space="preserve">“Condition of Restored</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Fragments Off</w:t>
      </w:r>
      <w:r>
        <w:rPr>
          <w:rFonts w:ascii="Times New Roman" w:hAnsi="Times New Roman"/>
        </w:rPr>
        <w:t xml:space="preserve"> </w:t>
      </w:r>
      <w:r>
        <w:rPr>
          <w:rFonts w:ascii="Times New Roman" w:hAnsi="Times New Roman"/>
        </w:rPr>
        <w:t xml:space="preserve">Mona Island</w:t>
      </w:r>
      <w:r>
        <w:rPr>
          <w:rFonts w:ascii="Times New Roman" w:hAnsi="Times New Roman"/>
        </w:rPr>
        <w:t xml:space="preserve">,</w:t>
      </w:r>
      <w:r>
        <w:rPr>
          <w:rFonts w:ascii="Times New Roman" w:hAnsi="Times New Roman"/>
        </w:rPr>
        <w:t xml:space="preserve"> </w:t>
      </w:r>
      <w:r>
        <w:rPr>
          <w:rFonts w:ascii="Times New Roman" w:hAnsi="Times New Roman"/>
        </w:rPr>
        <w:t xml:space="preserve">Puerto Rico</w:t>
      </w:r>
      <w:r>
        <w:rPr>
          <w:rFonts w:ascii="Times New Roman" w:hAnsi="Times New Roman"/>
        </w:rPr>
        <w:t xml:space="preserve">, 2 Years After the</w:t>
      </w:r>
      <w:r>
        <w:rPr>
          <w:rFonts w:ascii="Times New Roman" w:hAnsi="Times New Roman"/>
        </w:rPr>
        <w:t xml:space="preserve"> </w:t>
      </w:r>
      <w:r>
        <w:rPr>
          <w:rFonts w:ascii="Times New Roman" w:hAnsi="Times New Roman"/>
        </w:rPr>
        <w:t xml:space="preserve">Fortuna Reefer</w:t>
      </w:r>
      <w:r>
        <w:rPr>
          <w:rFonts w:ascii="Times New Roman" w:hAnsi="Times New Roman"/>
        </w:rPr>
        <w:t xml:space="preserve"> </w:t>
      </w:r>
      <w:r>
        <w:rPr>
          <w:rFonts w:ascii="Times New Roman" w:hAnsi="Times New Roman"/>
        </w:rPr>
        <w:t xml:space="preserve">Ship Grounding.”</w:t>
      </w:r>
      <w:r>
        <w:rPr>
          <w:rFonts w:ascii="Times New Roman" w:hAnsi="Times New Roman"/>
        </w:rPr>
        <w:t xml:space="preserve"> </w:t>
      </w:r>
      <w:r>
        <w:rPr>
          <w:rFonts w:ascii="Times New Roman" w:hAnsi="Times New Roman"/>
          <w:i/>
          <w:iCs/>
        </w:rPr>
        <w:t xml:space="preserve">Coral Reefs</w:t>
      </w:r>
      <w:r>
        <w:rPr>
          <w:rFonts w:ascii="Times New Roman" w:hAnsi="Times New Roman"/>
        </w:rPr>
        <w:t xml:space="preserve"> </w:t>
      </w:r>
      <w:r>
        <w:rPr>
          <w:rFonts w:ascii="Times New Roman" w:hAnsi="Times New Roman"/>
        </w:rPr>
        <w:t xml:space="preserve">20: 235–43.</w:t>
      </w:r>
      <w:r>
        <w:rPr>
          <w:rFonts w:ascii="Times New Roman" w:hAnsi="Times New Roman"/>
        </w:rPr>
        <w:t xml:space="preserve"> </w:t>
      </w:r>
      <w:hyperlink r:id="rId36">
        <w:r>
          <w:rPr>
            <w:rStyle w:val="Hyperlink"/>
          </w:rPr>
          <w:t xml:space="preserve">https://doi.org/10.1007/s003380100164</w:t>
        </w:r>
      </w:hyperlink>
      <w:r>
        <w:rPr>
          <w:rFonts w:ascii="Times New Roman" w:hAnsi="Times New Roman"/>
        </w:rPr>
        <w:t xml:space="preserve">.</w:t>
      </w:r>
    </w:p>
    <w:bookmarkEnd w:id="37"/>
    <w:bookmarkStart w:id="39" w:name="ref-forrester2013"/>
    <w:p>
      <w:pPr>
        <w:pStyle w:val="Bibliography"/>
      </w:pPr>
      <w:r>
        <w:rPr>
          <w:rFonts w:ascii="Times New Roman" w:hAnsi="Times New Roman"/>
        </w:rPr>
        <w:t xml:space="preserve">Forrester, Graham E., Megan A. Ferguson, Caitlin E. O’Connell-Rodwell, and Lianna L. Jarecki. 2014.</w:t>
      </w:r>
      <w:r>
        <w:rPr>
          <w:rFonts w:ascii="Times New Roman" w:hAnsi="Times New Roman"/>
        </w:rPr>
        <w:t xml:space="preserve"> </w:t>
      </w:r>
      <w:r>
        <w:rPr>
          <w:rFonts w:ascii="Times New Roman" w:hAnsi="Times New Roman"/>
        </w:rPr>
        <w:t xml:space="preserve">“Long-Term Survival and Colony Growth of</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Fragments Transplanted by Volunteers for Restoration.”</w:t>
      </w:r>
      <w:r>
        <w:rPr>
          <w:rFonts w:ascii="Times New Roman" w:hAnsi="Times New Roman"/>
        </w:rPr>
        <w:t xml:space="preserve"> </w:t>
      </w:r>
      <w:r>
        <w:rPr>
          <w:rFonts w:ascii="Times New Roman" w:hAnsi="Times New Roman"/>
          <w:i/>
          <w:iCs/>
        </w:rPr>
        <w:t xml:space="preserve">Aquatic Conservation: Marine and Freshwater Ecosystems</w:t>
      </w:r>
      <w:r>
        <w:rPr>
          <w:rFonts w:ascii="Times New Roman" w:hAnsi="Times New Roman"/>
        </w:rPr>
        <w:t xml:space="preserve"> </w:t>
      </w:r>
      <w:r>
        <w:rPr>
          <w:rFonts w:ascii="Times New Roman" w:hAnsi="Times New Roman"/>
        </w:rPr>
        <w:t xml:space="preserve">24: 81–91.</w:t>
      </w:r>
      <w:r>
        <w:rPr>
          <w:rFonts w:ascii="Times New Roman" w:hAnsi="Times New Roman"/>
        </w:rPr>
        <w:t xml:space="preserve"> </w:t>
      </w:r>
      <w:hyperlink r:id="rId38">
        <w:r>
          <w:rPr>
            <w:rStyle w:val="Hyperlink"/>
          </w:rPr>
          <w:t xml:space="preserve">https://doi.org/10.1002/aqc.2374</w:t>
        </w:r>
      </w:hyperlink>
      <w:r>
        <w:rPr>
          <w:rFonts w:ascii="Times New Roman" w:hAnsi="Times New Roman"/>
        </w:rPr>
        <w:t xml:space="preserve">.</w:t>
      </w:r>
    </w:p>
    <w:bookmarkEnd w:id="39"/>
    <w:bookmarkStart w:id="41" w:name="ref-garrison2008"/>
    <w:p>
      <w:pPr>
        <w:pStyle w:val="Bibliography"/>
      </w:pPr>
      <w:r>
        <w:rPr>
          <w:rFonts w:ascii="Times New Roman" w:hAnsi="Times New Roman"/>
        </w:rPr>
        <w:t xml:space="preserve">Garrison, Virginia, and Greg Ward. 2008.</w:t>
      </w:r>
      <w:r>
        <w:rPr>
          <w:rFonts w:ascii="Times New Roman" w:hAnsi="Times New Roman"/>
        </w:rPr>
        <w:t xml:space="preserve"> </w:t>
      </w:r>
      <w:r>
        <w:rPr>
          <w:rFonts w:ascii="Times New Roman" w:hAnsi="Times New Roman"/>
        </w:rPr>
        <w:t xml:space="preserve">“Storm-Generated Coral Fragments –</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Viable Source of Transplants for Reef Rehabilitation.”</w:t>
      </w:r>
      <w:r>
        <w:rPr>
          <w:rFonts w:ascii="Times New Roman" w:hAnsi="Times New Roman"/>
        </w:rPr>
        <w:t xml:space="preserve"> </w:t>
      </w:r>
      <w:r>
        <w:rPr>
          <w:rFonts w:ascii="Times New Roman" w:hAnsi="Times New Roman"/>
          <w:i/>
          <w:iCs/>
        </w:rPr>
        <w:t xml:space="preserve">Biological Conservation</w:t>
      </w:r>
      <w:r>
        <w:rPr>
          <w:rFonts w:ascii="Times New Roman" w:hAnsi="Times New Roman"/>
        </w:rPr>
        <w:t xml:space="preserve"> </w:t>
      </w:r>
      <w:r>
        <w:rPr>
          <w:rFonts w:ascii="Times New Roman" w:hAnsi="Times New Roman"/>
        </w:rPr>
        <w:t xml:space="preserve">141: 3089–100.</w:t>
      </w:r>
      <w:r>
        <w:rPr>
          <w:rFonts w:ascii="Times New Roman" w:hAnsi="Times New Roman"/>
        </w:rPr>
        <w:t xml:space="preserve"> </w:t>
      </w:r>
      <w:hyperlink r:id="rId40">
        <w:r>
          <w:rPr>
            <w:rStyle w:val="Hyperlink"/>
          </w:rPr>
          <w:t xml:space="preserve">https://doi.org/10.1016/j.biocon.2008.09.020</w:t>
        </w:r>
      </w:hyperlink>
      <w:r>
        <w:rPr>
          <w:rFonts w:ascii="Times New Roman" w:hAnsi="Times New Roman"/>
        </w:rPr>
        <w:t xml:space="preserve">.</w:t>
      </w:r>
    </w:p>
    <w:bookmarkEnd w:id="41"/>
    <w:bookmarkStart w:id="43" w:name="ref-kuffner2020"/>
    <w:p>
      <w:pPr>
        <w:pStyle w:val="Bibliography"/>
      </w:pPr>
      <w:r>
        <w:rPr>
          <w:rFonts w:ascii="Times New Roman" w:hAnsi="Times New Roman"/>
        </w:rPr>
        <w:t xml:space="preserve">Kuffner, Ilsa B., Anastasios Stathakopoulos, Lauren T. Toth, and Lucy A. Bartlett. 2020.</w:t>
      </w:r>
      <w:r>
        <w:rPr>
          <w:rFonts w:ascii="Times New Roman" w:hAnsi="Times New Roman"/>
        </w:rPr>
        <w:t xml:space="preserve"> </w:t>
      </w:r>
      <w:r>
        <w:rPr>
          <w:rFonts w:ascii="Times New Roman" w:hAnsi="Times New Roman"/>
        </w:rPr>
        <w:t xml:space="preserve">“Reestablishing a Stepping-Stone Population of the Threatened Elkhorn Coral</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to Aid Regional Recovery.”</w:t>
      </w:r>
      <w:r>
        <w:rPr>
          <w:rFonts w:ascii="Times New Roman" w:hAnsi="Times New Roman"/>
        </w:rPr>
        <w:t xml:space="preserve"> </w:t>
      </w:r>
      <w:r>
        <w:rPr>
          <w:rFonts w:ascii="Times New Roman" w:hAnsi="Times New Roman"/>
          <w:i/>
          <w:iCs/>
        </w:rPr>
        <w:t xml:space="preserve">Endangered Species Research</w:t>
      </w:r>
      <w:r>
        <w:rPr>
          <w:rFonts w:ascii="Times New Roman" w:hAnsi="Times New Roman"/>
        </w:rPr>
        <w:t xml:space="preserve"> </w:t>
      </w:r>
      <w:r>
        <w:rPr>
          <w:rFonts w:ascii="Times New Roman" w:hAnsi="Times New Roman"/>
        </w:rPr>
        <w:t xml:space="preserve">43: 461–73.</w:t>
      </w:r>
      <w:r>
        <w:rPr>
          <w:rFonts w:ascii="Times New Roman" w:hAnsi="Times New Roman"/>
        </w:rPr>
        <w:t xml:space="preserve"> </w:t>
      </w:r>
      <w:hyperlink r:id="rId42">
        <w:r>
          <w:rPr>
            <w:rStyle w:val="Hyperlink"/>
          </w:rPr>
          <w:t xml:space="preserve">https://doi.org/10.3354/esr01083</w:t>
        </w:r>
      </w:hyperlink>
      <w:r>
        <w:rPr>
          <w:rFonts w:ascii="Times New Roman" w:hAnsi="Times New Roman"/>
        </w:rPr>
        <w:t xml:space="preserve">.</w:t>
      </w:r>
    </w:p>
    <w:bookmarkEnd w:id="43"/>
    <w:bookmarkStart w:id="45" w:name="ref-manzello2025"/>
    <w:p>
      <w:pPr>
        <w:pStyle w:val="Bibliography"/>
      </w:pPr>
      <w:r>
        <w:rPr>
          <w:rFonts w:ascii="Times New Roman" w:hAnsi="Times New Roman"/>
        </w:rPr>
        <w:t xml:space="preserve">Manzello, Derek P., Ross Cunning, Richard F. Karp, et al. 2025.</w:t>
      </w:r>
      <w:r>
        <w:rPr>
          <w:rFonts w:ascii="Times New Roman" w:hAnsi="Times New Roman"/>
        </w:rPr>
        <w:t xml:space="preserve"> </w:t>
      </w:r>
      <w:r>
        <w:rPr>
          <w:rFonts w:ascii="Times New Roman" w:hAnsi="Times New Roman"/>
        </w:rPr>
        <w:t xml:space="preserve">“Heat-Driven Functional Extinction of</w:t>
      </w:r>
      <w:r>
        <w:rPr>
          <w:rFonts w:ascii="Times New Roman" w:hAnsi="Times New Roman"/>
        </w:rPr>
        <w:t xml:space="preserve"> </w:t>
      </w:r>
      <w:r>
        <w:rPr>
          <w:rFonts w:ascii="Times New Roman" w:hAnsi="Times New Roman"/>
        </w:rPr>
        <w:t xml:space="preserve">Caribbean</w:t>
      </w:r>
      <w:r>
        <w:rPr>
          <w:rFonts w:ascii="Times New Roman" w:hAnsi="Times New Roman"/>
        </w:rPr>
        <w:t xml:space="preserve"> </w:t>
      </w:r>
      <w:r>
        <w:rPr>
          <w:rFonts w:ascii="Times New Roman" w:hAnsi="Times New Roman"/>
        </w:rPr>
        <w:t xml:space="preserve">Acropora</w:t>
      </w:r>
      <w:r>
        <w:rPr>
          <w:rFonts w:ascii="Times New Roman" w:hAnsi="Times New Roman"/>
        </w:rPr>
        <w:t xml:space="preserve"> </w:t>
      </w:r>
      <w:r>
        <w:rPr>
          <w:rFonts w:ascii="Times New Roman" w:hAnsi="Times New Roman"/>
        </w:rPr>
        <w:t xml:space="preserve">Corals from</w:t>
      </w:r>
      <w:r>
        <w:rPr>
          <w:rFonts w:ascii="Times New Roman" w:hAnsi="Times New Roman"/>
        </w:rPr>
        <w:t xml:space="preserve"> </w:t>
      </w:r>
      <w:r>
        <w:rPr>
          <w:rFonts w:ascii="Times New Roman" w:hAnsi="Times New Roman"/>
        </w:rPr>
        <w:t xml:space="preserve">Florida</w:t>
      </w:r>
      <w:r>
        <w:rPr>
          <w:rFonts w:ascii="Times New Roman" w:hAnsi="Times New Roman"/>
        </w:rPr>
        <w:t xml:space="preserve">’s</w:t>
      </w:r>
      <w:r>
        <w:rPr>
          <w:rFonts w:ascii="Times New Roman" w:hAnsi="Times New Roman"/>
        </w:rPr>
        <w:t xml:space="preserve"> </w:t>
      </w:r>
      <w:r>
        <w:rPr>
          <w:rFonts w:ascii="Times New Roman" w:hAnsi="Times New Roman"/>
        </w:rPr>
        <w:t xml:space="preserve">Coral Reef</w:t>
      </w:r>
      <w:r>
        <w:rPr>
          <w:rFonts w:ascii="Times New Roman" w:hAnsi="Times New Roman"/>
        </w:rPr>
        <w:t xml:space="preserve">.”</w:t>
      </w:r>
      <w:r>
        <w:rPr>
          <w:rFonts w:ascii="Times New Roman" w:hAnsi="Times New Roman"/>
        </w:rPr>
        <w:t xml:space="preserve"> </w:t>
      </w:r>
      <w:r>
        <w:rPr>
          <w:rFonts w:ascii="Times New Roman" w:hAnsi="Times New Roman"/>
          <w:i/>
          <w:iCs/>
        </w:rPr>
        <w:t xml:space="preserve">Science</w:t>
      </w:r>
      <w:r>
        <w:rPr>
          <w:rFonts w:ascii="Times New Roman" w:hAnsi="Times New Roman"/>
        </w:rPr>
        <w:t xml:space="preserve"> </w:t>
      </w:r>
      <w:r>
        <w:rPr>
          <w:rFonts w:ascii="Times New Roman" w:hAnsi="Times New Roman"/>
        </w:rPr>
        <w:t xml:space="preserve">390 (6771): 361–66.</w:t>
      </w:r>
      <w:r>
        <w:rPr>
          <w:rFonts w:ascii="Times New Roman" w:hAnsi="Times New Roman"/>
        </w:rPr>
        <w:t xml:space="preserve"> </w:t>
      </w:r>
      <w:hyperlink r:id="rId44">
        <w:r>
          <w:rPr>
            <w:rStyle w:val="Hyperlink"/>
          </w:rPr>
          <w:t xml:space="preserve">https://doi.org/10.1126/science.adx7825</w:t>
        </w:r>
      </w:hyperlink>
      <w:r>
        <w:rPr>
          <w:rFonts w:ascii="Times New Roman" w:hAnsi="Times New Roman"/>
        </w:rPr>
        <w:t xml:space="preserve">.</w:t>
      </w:r>
    </w:p>
    <w:bookmarkEnd w:id="45"/>
    <w:bookmarkStart w:id="47" w:name="ref-maurer2022"/>
    <w:p>
      <w:pPr>
        <w:pStyle w:val="Bibliography"/>
      </w:pPr>
      <w:r>
        <w:rPr>
          <w:rFonts w:ascii="Times New Roman" w:hAnsi="Times New Roman"/>
        </w:rPr>
        <w:t xml:space="preserve">Maurer, Leah, Lauren Puishys, Nancy Kim Pham Ho, et al. 2022.</w:t>
      </w:r>
      <w:r>
        <w:rPr>
          <w:rFonts w:ascii="Times New Roman" w:hAnsi="Times New Roman"/>
        </w:rPr>
        <w:t xml:space="preserve"> </w:t>
      </w:r>
      <w:r>
        <w:rPr>
          <w:rFonts w:ascii="Times New Roman" w:hAnsi="Times New Roman"/>
        </w:rPr>
        <w:t xml:space="preserve">“</w:t>
      </w:r>
      <w:r>
        <w:rPr>
          <w:rFonts w:ascii="Times New Roman" w:hAnsi="Times New Roman"/>
        </w:rPr>
        <w:t xml:space="preserve">Acropora cervicornis</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Cultured on a Low Maintenance Line Nursery Design in</w:t>
      </w:r>
      <w:r>
        <w:rPr>
          <w:rFonts w:ascii="Times New Roman" w:hAnsi="Times New Roman"/>
        </w:rPr>
        <w:t xml:space="preserve"> </w:t>
      </w:r>
      <w:r>
        <w:rPr>
          <w:rFonts w:ascii="Times New Roman" w:hAnsi="Times New Roman"/>
        </w:rPr>
        <w:t xml:space="preserve">The Bahamas</w:t>
      </w:r>
      <w:r>
        <w:rPr>
          <w:rFonts w:ascii="Times New Roman" w:hAnsi="Times New Roman"/>
        </w:rPr>
        <w:t xml:space="preserve">.”</w:t>
      </w:r>
      <w:r>
        <w:rPr>
          <w:rFonts w:ascii="Times New Roman" w:hAnsi="Times New Roman"/>
        </w:rPr>
        <w:t xml:space="preserve"> </w:t>
      </w:r>
      <w:r>
        <w:rPr>
          <w:rFonts w:ascii="Times New Roman" w:hAnsi="Times New Roman"/>
          <w:i/>
          <w:iCs/>
        </w:rPr>
        <w:t xml:space="preserve">PLoS ONE</w:t>
      </w:r>
      <w:r>
        <w:rPr>
          <w:rFonts w:ascii="Times New Roman" w:hAnsi="Times New Roman"/>
        </w:rPr>
        <w:t xml:space="preserve"> </w:t>
      </w:r>
      <w:r>
        <w:rPr>
          <w:rFonts w:ascii="Times New Roman" w:hAnsi="Times New Roman"/>
        </w:rPr>
        <w:t xml:space="preserve">17 (4): e0267034.</w:t>
      </w:r>
      <w:r>
        <w:rPr>
          <w:rFonts w:ascii="Times New Roman" w:hAnsi="Times New Roman"/>
        </w:rPr>
        <w:t xml:space="preserve"> </w:t>
      </w:r>
      <w:hyperlink r:id="rId46">
        <w:r>
          <w:rPr>
            <w:rStyle w:val="Hyperlink"/>
          </w:rPr>
          <w:t xml:space="preserve">https://doi.org/10.1371/journal.pone.0267034</w:t>
        </w:r>
      </w:hyperlink>
      <w:r>
        <w:rPr>
          <w:rFonts w:ascii="Times New Roman" w:hAnsi="Times New Roman"/>
        </w:rPr>
        <w:t xml:space="preserve">.</w:t>
      </w:r>
    </w:p>
    <w:bookmarkEnd w:id="47"/>
    <w:bookmarkStart w:id="49" w:name="ref-mendozaquiroz2023"/>
    <w:p>
      <w:pPr>
        <w:pStyle w:val="Bibliography"/>
      </w:pPr>
      <w:r>
        <w:rPr>
          <w:rFonts w:ascii="Times New Roman" w:hAnsi="Times New Roman"/>
        </w:rPr>
        <w:t xml:space="preserve">Mendoza Quiroz, Sandra, Aurora Urania Beltrán-Torres, Maria Victoria Grosso-Becerra, Daniela Muñoz Villareal, Raúl Tecalco Rentería, and Anastazia T. Banaszak. 2023.</w:t>
      </w:r>
      <w:r>
        <w:rPr>
          <w:rFonts w:ascii="Times New Roman" w:hAnsi="Times New Roman"/>
        </w:rPr>
        <w:t xml:space="preserve"> </w:t>
      </w:r>
      <w:r>
        <w:rPr>
          <w:rFonts w:ascii="Times New Roman" w:hAnsi="Times New Roman"/>
        </w:rPr>
        <w:t xml:space="preserve">“Long-Term Survival, Growth, and Reproduction of</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Sexual Recruits Outplanted onto</w:t>
      </w:r>
      <w:r>
        <w:rPr>
          <w:rFonts w:ascii="Times New Roman" w:hAnsi="Times New Roman"/>
        </w:rPr>
        <w:t xml:space="preserve"> </w:t>
      </w:r>
      <w:r>
        <w:rPr>
          <w:rFonts w:ascii="Times New Roman" w:hAnsi="Times New Roman"/>
        </w:rPr>
        <w:t xml:space="preserve">Mexican Caribbean</w:t>
      </w:r>
      <w:r>
        <w:rPr>
          <w:rFonts w:ascii="Times New Roman" w:hAnsi="Times New Roman"/>
        </w:rPr>
        <w:t xml:space="preserve"> </w:t>
      </w:r>
      <w:r>
        <w:rPr>
          <w:rFonts w:ascii="Times New Roman" w:hAnsi="Times New Roman"/>
        </w:rPr>
        <w:t xml:space="preserve">Reefs.”</w:t>
      </w:r>
      <w:r>
        <w:rPr>
          <w:rFonts w:ascii="Times New Roman" w:hAnsi="Times New Roman"/>
        </w:rPr>
        <w:t xml:space="preserve"> </w:t>
      </w:r>
      <w:r>
        <w:rPr>
          <w:rFonts w:ascii="Times New Roman" w:hAnsi="Times New Roman"/>
          <w:i/>
          <w:iCs/>
        </w:rPr>
        <w:t xml:space="preserve">PeerJ</w:t>
      </w:r>
      <w:r>
        <w:rPr>
          <w:rFonts w:ascii="Times New Roman" w:hAnsi="Times New Roman"/>
        </w:rPr>
        <w:t xml:space="preserve"> </w:t>
      </w:r>
      <w:r>
        <w:rPr>
          <w:rFonts w:ascii="Times New Roman" w:hAnsi="Times New Roman"/>
        </w:rPr>
        <w:t xml:space="preserve">11: e15813.</w:t>
      </w:r>
      <w:r>
        <w:rPr>
          <w:rFonts w:ascii="Times New Roman" w:hAnsi="Times New Roman"/>
        </w:rPr>
        <w:t xml:space="preserve"> </w:t>
      </w:r>
      <w:hyperlink r:id="rId48">
        <w:r>
          <w:rPr>
            <w:rStyle w:val="Hyperlink"/>
          </w:rPr>
          <w:t xml:space="preserve">https://doi.org/10.7717/peerj.15813</w:t>
        </w:r>
      </w:hyperlink>
      <w:r>
        <w:rPr>
          <w:rFonts w:ascii="Times New Roman" w:hAnsi="Times New Roman"/>
        </w:rPr>
        <w:t xml:space="preserve">.</w:t>
      </w:r>
    </w:p>
    <w:bookmarkEnd w:id="49"/>
    <w:bookmarkStart w:id="51" w:name="ref-neely2022"/>
    <w:p>
      <w:pPr>
        <w:pStyle w:val="Bibliography"/>
      </w:pPr>
      <w:r>
        <w:rPr>
          <w:rFonts w:ascii="Times New Roman" w:hAnsi="Times New Roman"/>
        </w:rPr>
        <w:t xml:space="preserve">Neely, Karen L., Kevin A. Macaulay, and Kate S. Lunz. 2022.</w:t>
      </w:r>
      <w:r>
        <w:rPr>
          <w:rFonts w:ascii="Times New Roman" w:hAnsi="Times New Roman"/>
        </w:rPr>
        <w:t xml:space="preserve"> </w:t>
      </w:r>
      <w:r>
        <w:rPr>
          <w:rFonts w:ascii="Times New Roman" w:hAnsi="Times New Roman"/>
        </w:rPr>
        <w:t xml:space="preserve">“Population Trajectory and Stressors of</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Sites in the</w:t>
      </w:r>
      <w:r>
        <w:rPr>
          <w:rFonts w:ascii="Times New Roman" w:hAnsi="Times New Roman"/>
        </w:rPr>
        <w:t xml:space="preserve"> </w:t>
      </w:r>
      <w:r>
        <w:rPr>
          <w:rFonts w:ascii="Times New Roman" w:hAnsi="Times New Roman"/>
        </w:rPr>
        <w:t xml:space="preserve">Florida Keys</w:t>
      </w:r>
      <w:r>
        <w:rPr>
          <w:rFonts w:ascii="Times New Roman" w:hAnsi="Times New Roman"/>
        </w:rPr>
        <w:t xml:space="preserve">.”</w:t>
      </w:r>
      <w:r>
        <w:rPr>
          <w:rFonts w:ascii="Times New Roman" w:hAnsi="Times New Roman"/>
        </w:rPr>
        <w:t xml:space="preserve"> </w:t>
      </w:r>
      <w:r>
        <w:rPr>
          <w:rFonts w:ascii="Times New Roman" w:hAnsi="Times New Roman"/>
          <w:i/>
          <w:iCs/>
        </w:rPr>
        <w:t xml:space="preserve">Frontiers in Marine Science</w:t>
      </w:r>
      <w:r>
        <w:rPr>
          <w:rFonts w:ascii="Times New Roman" w:hAnsi="Times New Roman"/>
        </w:rPr>
        <w:t xml:space="preserve"> </w:t>
      </w:r>
      <w:r>
        <w:rPr>
          <w:rFonts w:ascii="Times New Roman" w:hAnsi="Times New Roman"/>
        </w:rPr>
        <w:t xml:space="preserve">9: 978785.</w:t>
      </w:r>
      <w:r>
        <w:rPr>
          <w:rFonts w:ascii="Times New Roman" w:hAnsi="Times New Roman"/>
        </w:rPr>
        <w:t xml:space="preserve"> </w:t>
      </w:r>
      <w:hyperlink r:id="rId50">
        <w:r>
          <w:rPr>
            <w:rStyle w:val="Hyperlink"/>
          </w:rPr>
          <w:t xml:space="preserve">https://doi.org/10.3389/fmars.2022.978785</w:t>
        </w:r>
      </w:hyperlink>
      <w:r>
        <w:rPr>
          <w:rFonts w:ascii="Times New Roman" w:hAnsi="Times New Roman"/>
        </w:rPr>
        <w:t xml:space="preserve">.</w:t>
      </w:r>
    </w:p>
    <w:bookmarkEnd w:id="51"/>
    <w:bookmarkStart w:id="52" w:name="ref-ortizprosper2005"/>
    <w:p>
      <w:pPr>
        <w:pStyle w:val="Bibliography"/>
      </w:pPr>
      <w:r>
        <w:rPr>
          <w:rFonts w:ascii="Times New Roman" w:hAnsi="Times New Roman"/>
        </w:rPr>
        <w:t xml:space="preserve">Ortiz Prosper, Antonio L. 2005.</w:t>
      </w:r>
      <w:r>
        <w:rPr>
          <w:rFonts w:ascii="Times New Roman" w:hAnsi="Times New Roman"/>
        </w:rPr>
        <w:t xml:space="preserve"> </w:t>
      </w:r>
      <w:r>
        <w:rPr>
          <w:rFonts w:ascii="Times New Roman" w:hAnsi="Times New Roman"/>
        </w:rPr>
        <w:t xml:space="preserve">“Population Dynamics of Hurricane-Generated Fragments of Elkhorn Coral</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w:t>
      </w:r>
      <w:r>
        <w:rPr>
          <w:rFonts w:ascii="Times New Roman" w:hAnsi="Times New Roman"/>
        </w:rPr>
        <w:t xml:space="preserve">Lamarck</w:t>
      </w:r>
      <w:r>
        <w:rPr>
          <w:rFonts w:ascii="Times New Roman" w:hAnsi="Times New Roman"/>
        </w:rPr>
        <w:t xml:space="preserve">, 1816).”</w:t>
      </w:r>
      <w:r>
        <w:rPr>
          <w:rFonts w:ascii="Times New Roman" w:hAnsi="Times New Roman"/>
        </w:rPr>
        <w:t xml:space="preserve"> </w:t>
      </w:r>
      <w:r>
        <w:rPr>
          <w:rFonts w:ascii="Times New Roman" w:hAnsi="Times New Roman"/>
        </w:rPr>
        <w:t xml:space="preserve">{PhD} dissertation, University of Puerto Rico, Mayag</w:t>
      </w:r>
      <w:r>
        <w:rPr>
          <w:rFonts w:ascii="Times New Roman" w:hAnsi="Times New Roman"/>
        </w:rPr>
        <w:t xml:space="preserve">ü</w:t>
      </w:r>
      <w:r>
        <w:rPr>
          <w:rFonts w:ascii="Times New Roman" w:hAnsi="Times New Roman"/>
        </w:rPr>
        <w:t xml:space="preserve">ez.</w:t>
      </w:r>
    </w:p>
    <w:bookmarkEnd w:id="52"/>
    <w:bookmarkStart w:id="54" w:name="ref-pausch2018"/>
    <w:p>
      <w:pPr>
        <w:pStyle w:val="Bibliography"/>
      </w:pPr>
      <w:r>
        <w:rPr>
          <w:rFonts w:ascii="Times New Roman" w:hAnsi="Times New Roman"/>
        </w:rPr>
        <w:t xml:space="preserve">Pausch, Rachel E., Dana E. Williams, and Margaret W. Miller. 2018.</w:t>
      </w:r>
      <w:r>
        <w:rPr>
          <w:rFonts w:ascii="Times New Roman" w:hAnsi="Times New Roman"/>
        </w:rPr>
        <w:t xml:space="preserve"> </w:t>
      </w:r>
      <w:r>
        <w:rPr>
          <w:rFonts w:ascii="Times New Roman" w:hAnsi="Times New Roman"/>
        </w:rPr>
        <w:t xml:space="preserve">“Impacts of Fragment Genotype, Habitat, and Size on Outplanted Elkhorn Coral Success Under Thermal Stress.”</w:t>
      </w:r>
      <w:r>
        <w:rPr>
          <w:rFonts w:ascii="Times New Roman" w:hAnsi="Times New Roman"/>
        </w:rPr>
        <w:t xml:space="preserve"> </w:t>
      </w:r>
      <w:r>
        <w:rPr>
          <w:rFonts w:ascii="Times New Roman" w:hAnsi="Times New Roman"/>
          <w:i/>
          <w:iCs/>
        </w:rPr>
        <w:t xml:space="preserve">Marine Ecology Progress Series</w:t>
      </w:r>
      <w:r>
        <w:rPr>
          <w:rFonts w:ascii="Times New Roman" w:hAnsi="Times New Roman"/>
        </w:rPr>
        <w:t xml:space="preserve"> </w:t>
      </w:r>
      <w:r>
        <w:rPr>
          <w:rFonts w:ascii="Times New Roman" w:hAnsi="Times New Roman"/>
        </w:rPr>
        <w:t xml:space="preserve">592: 109–17.</w:t>
      </w:r>
      <w:r>
        <w:rPr>
          <w:rFonts w:ascii="Times New Roman" w:hAnsi="Times New Roman"/>
        </w:rPr>
        <w:t xml:space="preserve"> </w:t>
      </w:r>
      <w:hyperlink r:id="rId53">
        <w:r>
          <w:rPr>
            <w:rStyle w:val="Hyperlink"/>
          </w:rPr>
          <w:t xml:space="preserve">https://doi.org/10.3354/meps12488</w:t>
        </w:r>
      </w:hyperlink>
      <w:r>
        <w:rPr>
          <w:rFonts w:ascii="Times New Roman" w:hAnsi="Times New Roman"/>
        </w:rPr>
        <w:t xml:space="preserve">.</w:t>
      </w:r>
    </w:p>
    <w:bookmarkEnd w:id="54"/>
    <w:bookmarkStart w:id="56" w:name="ref-ramosromero2025"/>
    <w:p>
      <w:pPr>
        <w:pStyle w:val="Bibliography"/>
      </w:pPr>
      <w:r>
        <w:rPr>
          <w:rFonts w:ascii="Times New Roman" w:hAnsi="Times New Roman"/>
        </w:rPr>
        <w:t xml:space="preserve">Ramos Romero, Amanda, Patricia González-Díaz, Gabriela Aguilera Pérez, and Anastazia T. Banaszak. 2025.</w:t>
      </w:r>
      <w:r>
        <w:rPr>
          <w:rFonts w:ascii="Times New Roman" w:hAnsi="Times New Roman"/>
        </w:rPr>
        <w:t xml:space="preserve"> </w:t>
      </w:r>
      <w:r>
        <w:rPr>
          <w:rFonts w:ascii="Times New Roman" w:hAnsi="Times New Roman"/>
        </w:rPr>
        <w:t xml:space="preserve">“Does Reef Crest Zone Selection Influence</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w:t>
      </w:r>
      <w:r>
        <w:rPr>
          <w:rFonts w:ascii="Times New Roman" w:hAnsi="Times New Roman"/>
        </w:rPr>
        <w:t xml:space="preserve">Lamarck</w:t>
      </w:r>
      <w:r>
        <w:rPr>
          <w:rFonts w:ascii="Times New Roman" w:hAnsi="Times New Roman"/>
        </w:rPr>
        <w:t xml:space="preserve">, 1816) Fragment Survival and Growth?”</w:t>
      </w:r>
      <w:r>
        <w:rPr>
          <w:rFonts w:ascii="Times New Roman" w:hAnsi="Times New Roman"/>
        </w:rPr>
        <w:t xml:space="preserve"> </w:t>
      </w:r>
      <w:r>
        <w:rPr>
          <w:rFonts w:ascii="Times New Roman" w:hAnsi="Times New Roman"/>
          <w:i/>
          <w:iCs/>
        </w:rPr>
        <w:t xml:space="preserve">PeerJ</w:t>
      </w:r>
      <w:r>
        <w:rPr>
          <w:rFonts w:ascii="Times New Roman" w:hAnsi="Times New Roman"/>
        </w:rPr>
        <w:t xml:space="preserve"> </w:t>
      </w:r>
      <w:r>
        <w:rPr>
          <w:rFonts w:ascii="Times New Roman" w:hAnsi="Times New Roman"/>
        </w:rPr>
        <w:t xml:space="preserve">13: e20303.</w:t>
      </w:r>
      <w:r>
        <w:rPr>
          <w:rFonts w:ascii="Times New Roman" w:hAnsi="Times New Roman"/>
        </w:rPr>
        <w:t xml:space="preserve"> </w:t>
      </w:r>
      <w:hyperlink r:id="rId55">
        <w:r>
          <w:rPr>
            <w:rStyle w:val="Hyperlink"/>
          </w:rPr>
          <w:t xml:space="preserve">https://doi.org/10.7717/peerj.20303</w:t>
        </w:r>
      </w:hyperlink>
      <w:r>
        <w:rPr>
          <w:rFonts w:ascii="Times New Roman" w:hAnsi="Times New Roman"/>
        </w:rPr>
        <w:t xml:space="preserve">.</w:t>
      </w:r>
    </w:p>
    <w:bookmarkEnd w:id="56"/>
    <w:bookmarkStart w:id="58" w:name="ref-rogersmuller2012"/>
    <w:p>
      <w:pPr>
        <w:pStyle w:val="Bibliography"/>
      </w:pPr>
      <w:r>
        <w:rPr>
          <w:rFonts w:ascii="Times New Roman" w:hAnsi="Times New Roman"/>
        </w:rPr>
        <w:t xml:space="preserve">Rogers, C. S., and E. M. Muller. 2012.</w:t>
      </w:r>
      <w:r>
        <w:rPr>
          <w:rFonts w:ascii="Times New Roman" w:hAnsi="Times New Roman"/>
        </w:rPr>
        <w:t xml:space="preserve"> </w:t>
      </w:r>
      <w:r>
        <w:rPr>
          <w:rFonts w:ascii="Times New Roman" w:hAnsi="Times New Roman"/>
        </w:rPr>
        <w:t xml:space="preserve">“Bleaching, Disease and Recovery in the Threatened Scleractinian Coral</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St. John</w:t>
      </w:r>
      <w:r>
        <w:rPr>
          <w:rFonts w:ascii="Times New Roman" w:hAnsi="Times New Roman"/>
        </w:rPr>
        <w:t xml:space="preserve">,</w:t>
      </w:r>
      <w:r>
        <w:rPr>
          <w:rFonts w:ascii="Times New Roman" w:hAnsi="Times New Roman"/>
        </w:rPr>
        <w:t xml:space="preserve"> </w:t>
      </w:r>
      <w:r>
        <w:rPr>
          <w:rFonts w:ascii="Times New Roman" w:hAnsi="Times New Roman"/>
        </w:rPr>
        <w:t xml:space="preserve">US Virgin Islands</w:t>
      </w:r>
      <w:r>
        <w:rPr>
          <w:rFonts w:ascii="Times New Roman" w:hAnsi="Times New Roman"/>
        </w:rPr>
        <w:t xml:space="preserve">: 2003–2010.”</w:t>
      </w:r>
      <w:r>
        <w:rPr>
          <w:rFonts w:ascii="Times New Roman" w:hAnsi="Times New Roman"/>
        </w:rPr>
        <w:t xml:space="preserve"> </w:t>
      </w:r>
      <w:r>
        <w:rPr>
          <w:rFonts w:ascii="Times New Roman" w:hAnsi="Times New Roman"/>
          <w:i/>
          <w:iCs/>
        </w:rPr>
        <w:t xml:space="preserve">Coral Reefs</w:t>
      </w:r>
      <w:r>
        <w:rPr>
          <w:rFonts w:ascii="Times New Roman" w:hAnsi="Times New Roman"/>
        </w:rPr>
        <w:t xml:space="preserve"> </w:t>
      </w:r>
      <w:r>
        <w:rPr>
          <w:rFonts w:ascii="Times New Roman" w:hAnsi="Times New Roman"/>
        </w:rPr>
        <w:t xml:space="preserve">31: 807–19.</w:t>
      </w:r>
      <w:r>
        <w:rPr>
          <w:rFonts w:ascii="Times New Roman" w:hAnsi="Times New Roman"/>
        </w:rPr>
        <w:t xml:space="preserve"> </w:t>
      </w:r>
      <w:hyperlink r:id="rId57">
        <w:r>
          <w:rPr>
            <w:rStyle w:val="Hyperlink"/>
          </w:rPr>
          <w:t xml:space="preserve">https://doi.org/10.1007/s00338-012-0898-8</w:t>
        </w:r>
      </w:hyperlink>
      <w:r>
        <w:rPr>
          <w:rFonts w:ascii="Times New Roman" w:hAnsi="Times New Roman"/>
        </w:rPr>
        <w:t xml:space="preserve">.</w:t>
      </w:r>
    </w:p>
    <w:bookmarkEnd w:id="58"/>
    <w:bookmarkStart w:id="59" w:name="ref-rogers1982"/>
    <w:p>
      <w:pPr>
        <w:pStyle w:val="Bibliography"/>
      </w:pPr>
      <w:r>
        <w:rPr>
          <w:rFonts w:ascii="Times New Roman" w:hAnsi="Times New Roman"/>
        </w:rPr>
        <w:t xml:space="preserve">Rogers, Caroline S., Thomas H. Suchanek, and Frank A. Pecora. 1982.</w:t>
      </w:r>
      <w:r>
        <w:rPr>
          <w:rFonts w:ascii="Times New Roman" w:hAnsi="Times New Roman"/>
        </w:rPr>
        <w:t xml:space="preserve"> </w:t>
      </w:r>
      <w:r>
        <w:rPr>
          <w:rFonts w:ascii="Times New Roman" w:hAnsi="Times New Roman"/>
        </w:rPr>
        <w:t xml:space="preserve">“Effects of</w:t>
      </w:r>
      <w:r>
        <w:rPr>
          <w:rFonts w:ascii="Times New Roman" w:hAnsi="Times New Roman"/>
        </w:rPr>
        <w:t xml:space="preserve"> </w:t>
      </w:r>
      <w:r>
        <w:rPr>
          <w:rFonts w:ascii="Times New Roman" w:hAnsi="Times New Roman"/>
        </w:rPr>
        <w:t xml:space="preserve">Hurricanes David</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Frederic</w:t>
      </w:r>
      <w:r>
        <w:rPr>
          <w:rFonts w:ascii="Times New Roman" w:hAnsi="Times New Roman"/>
        </w:rPr>
        <w:t xml:space="preserve"> </w:t>
      </w:r>
      <w:r>
        <w:rPr>
          <w:rFonts w:ascii="Times New Roman" w:hAnsi="Times New Roman"/>
        </w:rPr>
        <w:t xml:space="preserve">(1979) on Shallow</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Reef Communities:</w:t>
      </w:r>
      <w:r>
        <w:rPr>
          <w:rFonts w:ascii="Times New Roman" w:hAnsi="Times New Roman"/>
        </w:rPr>
        <w:t xml:space="preserve"> </w:t>
      </w:r>
      <w:r>
        <w:rPr>
          <w:rFonts w:ascii="Times New Roman" w:hAnsi="Times New Roman"/>
        </w:rPr>
        <w:t xml:space="preserve">St. Croix</w:t>
      </w:r>
      <w:r>
        <w:rPr>
          <w:rFonts w:ascii="Times New Roman" w:hAnsi="Times New Roman"/>
        </w:rPr>
        <w:t xml:space="preserve">,</w:t>
      </w:r>
      <w:r>
        <w:rPr>
          <w:rFonts w:ascii="Times New Roman" w:hAnsi="Times New Roman"/>
        </w:rPr>
        <w:t xml:space="preserve"> </w:t>
      </w:r>
      <w:r>
        <w:rPr>
          <w:rFonts w:ascii="Times New Roman" w:hAnsi="Times New Roman"/>
        </w:rPr>
        <w:t xml:space="preserve">U.S. Virgin Islands</w:t>
      </w:r>
      <w:r>
        <w:rPr>
          <w:rFonts w:ascii="Times New Roman" w:hAnsi="Times New Roman"/>
        </w:rPr>
        <w:t xml:space="preserve">.”</w:t>
      </w:r>
      <w:r>
        <w:rPr>
          <w:rFonts w:ascii="Times New Roman" w:hAnsi="Times New Roman"/>
        </w:rPr>
        <w:t xml:space="preserve"> </w:t>
      </w:r>
      <w:r>
        <w:rPr>
          <w:rFonts w:ascii="Times New Roman" w:hAnsi="Times New Roman"/>
          <w:i/>
          <w:iCs/>
        </w:rPr>
        <w:t xml:space="preserve">Bulletin of Marine Science</w:t>
      </w:r>
      <w:r>
        <w:rPr>
          <w:rFonts w:ascii="Times New Roman" w:hAnsi="Times New Roman"/>
        </w:rPr>
        <w:t xml:space="preserve"> </w:t>
      </w:r>
      <w:r>
        <w:rPr>
          <w:rFonts w:ascii="Times New Roman" w:hAnsi="Times New Roman"/>
        </w:rPr>
        <w:t xml:space="preserve">32 (2): 532–48.</w:t>
      </w:r>
    </w:p>
    <w:bookmarkEnd w:id="59"/>
    <w:bookmarkStart w:id="61" w:name="ref-rosales2024"/>
    <w:p>
      <w:pPr>
        <w:pStyle w:val="Bibliography"/>
      </w:pPr>
      <w:r>
        <w:rPr>
          <w:rFonts w:ascii="Times New Roman" w:hAnsi="Times New Roman"/>
        </w:rPr>
        <w:t xml:space="preserve">Rosales, Stephanie M., Benjamin D. Young, Allan J. Bright, et al. 2024.</w:t>
      </w:r>
      <w:r>
        <w:rPr>
          <w:rFonts w:ascii="Times New Roman" w:hAnsi="Times New Roman"/>
        </w:rPr>
        <w:t xml:space="preserve"> </w:t>
      </w:r>
      <w:r>
        <w:rPr>
          <w:rFonts w:ascii="Times New Roman" w:hAnsi="Times New Roman"/>
        </w:rPr>
        <w:t xml:space="preserve">“Reef Site and Habitat Influence Effectiveness of</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w:t>
      </w:r>
      <w:r>
        <w:rPr>
          <w:rFonts w:ascii="Times New Roman" w:hAnsi="Times New Roman"/>
        </w:rPr>
        <w:t xml:space="preserve">Restoration and Its Microbiome in the</w:t>
      </w:r>
      <w:r>
        <w:rPr>
          <w:rFonts w:ascii="Times New Roman" w:hAnsi="Times New Roman"/>
        </w:rPr>
        <w:t xml:space="preserve"> </w:t>
      </w:r>
      <w:r>
        <w:rPr>
          <w:rFonts w:ascii="Times New Roman" w:hAnsi="Times New Roman"/>
        </w:rPr>
        <w:t xml:space="preserve">Florida Keys</w:t>
      </w:r>
      <w:r>
        <w:rPr>
          <w:rFonts w:ascii="Times New Roman" w:hAnsi="Times New Roman"/>
        </w:rPr>
        <w:t xml:space="preserve">.”</w:t>
      </w:r>
      <w:r>
        <w:rPr>
          <w:rFonts w:ascii="Times New Roman" w:hAnsi="Times New Roman"/>
        </w:rPr>
        <w:t xml:space="preserve"> </w:t>
      </w:r>
      <w:r>
        <w:rPr>
          <w:rFonts w:ascii="Times New Roman" w:hAnsi="Times New Roman"/>
          <w:i/>
          <w:iCs/>
        </w:rPr>
        <w:t xml:space="preserve">Communications Earth &amp; Environment</w:t>
      </w:r>
      <w:r>
        <w:rPr>
          <w:rFonts w:ascii="Times New Roman" w:hAnsi="Times New Roman"/>
        </w:rPr>
        <w:t xml:space="preserve"> </w:t>
      </w:r>
      <w:r>
        <w:rPr>
          <w:rFonts w:ascii="Times New Roman" w:hAnsi="Times New Roman"/>
        </w:rPr>
        <w:t xml:space="preserve">5: 689.</w:t>
      </w:r>
      <w:r>
        <w:rPr>
          <w:rFonts w:ascii="Times New Roman" w:hAnsi="Times New Roman"/>
        </w:rPr>
        <w:t xml:space="preserve"> </w:t>
      </w:r>
      <w:hyperlink r:id="rId60">
        <w:r>
          <w:rPr>
            <w:rStyle w:val="Hyperlink"/>
          </w:rPr>
          <w:t xml:space="preserve">https://doi.org/10.1038/s43247-024-01816-7</w:t>
        </w:r>
      </w:hyperlink>
      <w:r>
        <w:rPr>
          <w:rFonts w:ascii="Times New Roman" w:hAnsi="Times New Roman"/>
        </w:rPr>
        <w:t xml:space="preserve">.</w:t>
      </w:r>
    </w:p>
    <w:bookmarkEnd w:id="61"/>
    <w:bookmarkStart w:id="62" w:name="ref-vardi2011"/>
    <w:p>
      <w:pPr>
        <w:pStyle w:val="Bibliography"/>
      </w:pPr>
      <w:r>
        <w:rPr>
          <w:rFonts w:ascii="Times New Roman" w:hAnsi="Times New Roman"/>
        </w:rPr>
        <w:t xml:space="preserve">Vardi, Tali. 2011.</w:t>
      </w:r>
      <w:r>
        <w:rPr>
          <w:rFonts w:ascii="Times New Roman" w:hAnsi="Times New Roman"/>
        </w:rPr>
        <w:t xml:space="preserve"> </w:t>
      </w:r>
      <w:r>
        <w:rPr>
          <w:rFonts w:ascii="Times New Roman" w:hAnsi="Times New Roman"/>
        </w:rPr>
        <w:t xml:space="preserve">“The Threatened</w:t>
      </w:r>
      <w:r>
        <w:rPr>
          <w:rFonts w:ascii="Times New Roman" w:hAnsi="Times New Roman"/>
        </w:rPr>
        <w:t xml:space="preserve"> </w:t>
      </w:r>
      <w:r>
        <w:rPr>
          <w:rFonts w:ascii="Times New Roman" w:hAnsi="Times New Roman"/>
        </w:rPr>
        <w:t xml:space="preserve">Atlantic</w:t>
      </w:r>
      <w:r>
        <w:rPr>
          <w:rFonts w:ascii="Times New Roman" w:hAnsi="Times New Roman"/>
        </w:rPr>
        <w:t xml:space="preserve"> </w:t>
      </w:r>
      <w:r>
        <w:rPr>
          <w:rFonts w:ascii="Times New Roman" w:hAnsi="Times New Roman"/>
        </w:rPr>
        <w:t xml:space="preserve">Elkhorn Coral,</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Population Dynamics and Their Policy Implications.”</w:t>
      </w:r>
      <w:r>
        <w:rPr>
          <w:rFonts w:ascii="Times New Roman" w:hAnsi="Times New Roman"/>
        </w:rPr>
        <w:t xml:space="preserve"> </w:t>
      </w:r>
      <w:r>
        <w:rPr>
          <w:rFonts w:ascii="Times New Roman" w:hAnsi="Times New Roman"/>
        </w:rPr>
        <w:t xml:space="preserve">{PhD} dissertation, University of California, San Diego.</w:t>
      </w:r>
    </w:p>
    <w:bookmarkEnd w:id="62"/>
    <w:bookmarkStart w:id="64" w:name="ref-williamsmiller2010"/>
    <w:p>
      <w:pPr>
        <w:pStyle w:val="Bibliography"/>
      </w:pPr>
      <w:r>
        <w:rPr>
          <w:rFonts w:ascii="Times New Roman" w:hAnsi="Times New Roman"/>
        </w:rPr>
        <w:t xml:space="preserve">Williams, Dana E., and Margaret W. Miller. 2010.</w:t>
      </w:r>
      <w:r>
        <w:rPr>
          <w:rFonts w:ascii="Times New Roman" w:hAnsi="Times New Roman"/>
        </w:rPr>
        <w:t xml:space="preserve"> </w:t>
      </w:r>
      <w:r>
        <w:rPr>
          <w:rFonts w:ascii="Times New Roman" w:hAnsi="Times New Roman"/>
        </w:rPr>
        <w:t xml:space="preserve">“Stabilization of Fragments to Enhance Asexual Recruitment in</w:t>
      </w:r>
      <w:r>
        <w:rPr>
          <w:rFonts w:ascii="Times New Roman" w:hAnsi="Times New Roman"/>
        </w:rPr>
        <w:t xml:space="preserve"> </w:t>
      </w:r>
      <w:r>
        <w:rPr>
          <w:rFonts w:ascii="Times New Roman" w:hAnsi="Times New Roman"/>
        </w:rPr>
        <w:t xml:space="preserve">Acropora palmata</w:t>
      </w:r>
      <w:r>
        <w:rPr>
          <w:rFonts w:ascii="Times New Roman" w:hAnsi="Times New Roman"/>
        </w:rPr>
        <w:t xml:space="preserve">, a Threatened</w:t>
      </w:r>
      <w:r>
        <w:rPr>
          <w:rFonts w:ascii="Times New Roman" w:hAnsi="Times New Roman"/>
        </w:rPr>
        <w:t xml:space="preserve"> </w:t>
      </w:r>
      <w:r>
        <w:rPr>
          <w:rFonts w:ascii="Times New Roman" w:hAnsi="Times New Roman"/>
        </w:rPr>
        <w:t xml:space="preserve">Caribbean</w:t>
      </w:r>
      <w:r>
        <w:rPr>
          <w:rFonts w:ascii="Times New Roman" w:hAnsi="Times New Roman"/>
        </w:rPr>
        <w:t xml:space="preserve"> </w:t>
      </w:r>
      <w:r>
        <w:rPr>
          <w:rFonts w:ascii="Times New Roman" w:hAnsi="Times New Roman"/>
        </w:rPr>
        <w:t xml:space="preserve">Coral.”</w:t>
      </w:r>
      <w:r>
        <w:rPr>
          <w:rFonts w:ascii="Times New Roman" w:hAnsi="Times New Roman"/>
        </w:rPr>
        <w:t xml:space="preserve"> </w:t>
      </w:r>
      <w:r>
        <w:rPr>
          <w:rFonts w:ascii="Times New Roman" w:hAnsi="Times New Roman"/>
          <w:i/>
          <w:iCs/>
        </w:rPr>
        <w:t xml:space="preserve">Restoration Ecology</w:t>
      </w:r>
      <w:r>
        <w:rPr>
          <w:rFonts w:ascii="Times New Roman" w:hAnsi="Times New Roman"/>
        </w:rPr>
        <w:t xml:space="preserve"> </w:t>
      </w:r>
      <w:r>
        <w:rPr>
          <w:rFonts w:ascii="Times New Roman" w:hAnsi="Times New Roman"/>
        </w:rPr>
        <w:t xml:space="preserve">18 (S2): 446–51.</w:t>
      </w:r>
      <w:r>
        <w:rPr>
          <w:rFonts w:ascii="Times New Roman" w:hAnsi="Times New Roman"/>
        </w:rPr>
        <w:t xml:space="preserve"> </w:t>
      </w:r>
      <w:hyperlink r:id="rId63">
        <w:r>
          <w:rPr>
            <w:rStyle w:val="Hyperlink"/>
          </w:rPr>
          <w:t xml:space="preserve">https://doi.org/10.1111/j.1526-100X.2009.00579.x</w:t>
        </w:r>
      </w:hyperlink>
      <w:r>
        <w:rPr>
          <w:rFonts w:ascii="Times New Roman" w:hAnsi="Times New Roman"/>
        </w:rPr>
        <w:t xml:space="preserve">.</w:t>
      </w:r>
    </w:p>
    <w:bookmarkEnd w:id="64"/>
    <w:bookmarkEnd w:id="65"/>
    <w:bookmarkEnd w:id="66"/>
    <w:sectPr>
      <w:headerReference w:type="default" r:id="rId9"/>
      <w:footerReference w:type="default" r:id="rId10"/>
      <w:footnotePr>
        <w:numRestart w:val="eachSect"/>
      </w:footnote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F4F4F"/>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F4F4F"/>
        <w:sz w:val="17"/>
      </w:rPr>
      <w:t>Online Resource 1 | Acropora palmata demography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Times New Roman" w:hAnsi="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20" w:line="240" w:lineRule="auto"/>
      <w:contextualSpacing/>
      <w:jc w:val="center"/>
    </w:pPr>
    <w:rPr>
      <w:rFonts w:asciiTheme="majorHAnsi" w:cstheme="majorBidi" w:eastAsiaTheme="majorEastAsia" w:hAnsiTheme="majorHAnsi" w:ascii="Times New Roma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12" Type="http://schemas.openxmlformats.org/officeDocument/2006/relationships/image" Target="media/rId12.png"/><Relationship Id="rId32" Type="http://schemas.openxmlformats.org/officeDocument/2006/relationships/image" Target="media/rId32.png"/><Relationship Id="rId16" Type="http://schemas.openxmlformats.org/officeDocument/2006/relationships/image" Target="media/rId16.png"/><Relationship Id="rId38" Type="http://schemas.openxmlformats.org/officeDocument/2006/relationships/hyperlink" Target="https://doi.org/10.1002/aqc.2374" TargetMode="External"/><Relationship Id="rId57" Type="http://schemas.openxmlformats.org/officeDocument/2006/relationships/hyperlink" Target="https://doi.org/10.1007/s00338-012-0898-8" TargetMode="External"/><Relationship Id="rId36" Type="http://schemas.openxmlformats.org/officeDocument/2006/relationships/hyperlink" Target="https://doi.org/10.1007/s003380100164" TargetMode="External"/><Relationship Id="rId40" Type="http://schemas.openxmlformats.org/officeDocument/2006/relationships/hyperlink" Target="https://doi.org/10.1016/j.biocon.2008.09.020" TargetMode="External"/><Relationship Id="rId60" Type="http://schemas.openxmlformats.org/officeDocument/2006/relationships/hyperlink" Target="https://doi.org/10.1038/s43247-024-01816-7" TargetMode="External"/><Relationship Id="rId63" Type="http://schemas.openxmlformats.org/officeDocument/2006/relationships/hyperlink" Target="https://doi.org/10.1111/j.1526-100X.2009.00579.x" TargetMode="External"/><Relationship Id="rId44" Type="http://schemas.openxmlformats.org/officeDocument/2006/relationships/hyperlink" Target="https://doi.org/10.1126/science.adx7825" TargetMode="External"/><Relationship Id="rId46" Type="http://schemas.openxmlformats.org/officeDocument/2006/relationships/hyperlink" Target="https://doi.org/10.1371/journal.pone.0267034" TargetMode="External"/><Relationship Id="rId42" Type="http://schemas.openxmlformats.org/officeDocument/2006/relationships/hyperlink" Target="https://doi.org/10.3354/esr01083" TargetMode="External"/><Relationship Id="rId53" Type="http://schemas.openxmlformats.org/officeDocument/2006/relationships/hyperlink" Target="https://doi.org/10.3354/meps12488" TargetMode="External"/><Relationship Id="rId50" Type="http://schemas.openxmlformats.org/officeDocument/2006/relationships/hyperlink" Target="https://doi.org/10.3389/fmars.2022.978785" TargetMode="External"/><Relationship Id="rId48" Type="http://schemas.openxmlformats.org/officeDocument/2006/relationships/hyperlink" Target="https://doi.org/10.7717/peerj.15813" TargetMode="External"/><Relationship Id="rId55" Type="http://schemas.openxmlformats.org/officeDocument/2006/relationships/hyperlink" Target="https://doi.org/10.7717/peerj.20303"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8" Type="http://schemas.openxmlformats.org/officeDocument/2006/relationships/hyperlink" Target="https://doi.org/10.1002/aqc.2374" TargetMode="External"/><Relationship Id="rId57" Type="http://schemas.openxmlformats.org/officeDocument/2006/relationships/hyperlink" Target="https://doi.org/10.1007/s00338-012-0898-8" TargetMode="External"/><Relationship Id="rId36" Type="http://schemas.openxmlformats.org/officeDocument/2006/relationships/hyperlink" Target="https://doi.org/10.1007/s003380100164" TargetMode="External"/><Relationship Id="rId40" Type="http://schemas.openxmlformats.org/officeDocument/2006/relationships/hyperlink" Target="https://doi.org/10.1016/j.biocon.2008.09.020" TargetMode="External"/><Relationship Id="rId60" Type="http://schemas.openxmlformats.org/officeDocument/2006/relationships/hyperlink" Target="https://doi.org/10.1038/s43247-024-01816-7" TargetMode="External"/><Relationship Id="rId63" Type="http://schemas.openxmlformats.org/officeDocument/2006/relationships/hyperlink" Target="https://doi.org/10.1111/j.1526-100X.2009.00579.x" TargetMode="External"/><Relationship Id="rId44" Type="http://schemas.openxmlformats.org/officeDocument/2006/relationships/hyperlink" Target="https://doi.org/10.1126/science.adx7825" TargetMode="External"/><Relationship Id="rId46" Type="http://schemas.openxmlformats.org/officeDocument/2006/relationships/hyperlink" Target="https://doi.org/10.1371/journal.pone.0267034" TargetMode="External"/><Relationship Id="rId42" Type="http://schemas.openxmlformats.org/officeDocument/2006/relationships/hyperlink" Target="https://doi.org/10.3354/esr01083" TargetMode="External"/><Relationship Id="rId53" Type="http://schemas.openxmlformats.org/officeDocument/2006/relationships/hyperlink" Target="https://doi.org/10.3354/meps12488" TargetMode="External"/><Relationship Id="rId50" Type="http://schemas.openxmlformats.org/officeDocument/2006/relationships/hyperlink" Target="https://doi.org/10.3389/fmars.2022.978785" TargetMode="External"/><Relationship Id="rId48" Type="http://schemas.openxmlformats.org/officeDocument/2006/relationships/hyperlink" Target="https://doi.org/10.7717/peerj.15813" TargetMode="External"/><Relationship Id="rId55" Type="http://schemas.openxmlformats.org/officeDocument/2006/relationships/hyperlink" Target="https://doi.org/10.7717/peerj.203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Supporting analyses for Acropora palmata demography</dc:title>
  <dc:creator>Adrian C. Stier</dc:creator>
  <cp:keywords/>
  <dcterms:created xsi:type="dcterms:W3CDTF">2026-10-01T21:16:24Z</dcterms:created>
  <dcterms:modified xsi:type="dcterms:W3CDTF">2026-10-01T21:16:24Z</dcterms:modified>
  <dc:subject>Coral Reefs electronic supplementary material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
  </property>
  <property fmtid="{D5CDD505-2E9C-101B-9397-08002B2CF9AE}" pid="4" name="header-includes">
    <vt:lpwstr/>
  </property>
  <property fmtid="{D5CDD505-2E9C-101B-9397-08002B2CF9AE}" pid="5" name="link-citations">
    <vt:lpwstr>True</vt:lpwstr>
  </property>
</Properties>
</file>