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AED32" w14:textId="0004F2E9" w:rsidR="00664D99" w:rsidRDefault="00F25970">
      <w:r>
        <w:t>Cut Text</w:t>
      </w:r>
    </w:p>
    <w:p w14:paraId="58E78845" w14:textId="7D4D9CD7" w:rsidR="00F25970" w:rsidRDefault="00F25970"/>
    <w:p w14:paraId="2586E2A9" w14:textId="4AEAB954" w:rsidR="00D273F3" w:rsidRDefault="00D273F3">
      <w:r>
        <w:t xml:space="preserve">METHODS </w:t>
      </w:r>
    </w:p>
    <w:p w14:paraId="5BE7331B" w14:textId="77777777" w:rsidR="00D273F3" w:rsidRPr="00442513" w:rsidRDefault="00D273F3" w:rsidP="00D273F3">
      <w:r w:rsidRPr="00442513">
        <w:t xml:space="preserve">We did not consider so-called “constant escapement” harvest control rules as these are relatively rare.  Additionally, we did not apply the well-known “bam-bam” solution to optimize catches in a stochastic fishery (here, when biomass exceeds </w:t>
      </w:r>
      <w:r w:rsidRPr="00442513">
        <w:rPr>
          <w:i/>
        </w:rPr>
        <w:t>B</w:t>
      </w:r>
      <w:r w:rsidRPr="00442513">
        <w:rPr>
          <w:i/>
          <w:vertAlign w:val="subscript"/>
        </w:rPr>
        <w:t>MSY</w:t>
      </w:r>
      <w:r w:rsidRPr="00442513">
        <w:t xml:space="preserve">, the stock is immediately harvested down to </w:t>
      </w:r>
      <w:r w:rsidRPr="00442513">
        <w:rPr>
          <w:i/>
        </w:rPr>
        <w:t>B</w:t>
      </w:r>
      <w:r w:rsidRPr="00442513">
        <w:rPr>
          <w:i/>
          <w:vertAlign w:val="subscript"/>
        </w:rPr>
        <w:t>MSY</w:t>
      </w:r>
      <w:r w:rsidRPr="00442513">
        <w:t xml:space="preserve">, and when biomass is less than </w:t>
      </w:r>
      <w:r w:rsidRPr="00442513">
        <w:rPr>
          <w:i/>
        </w:rPr>
        <w:t>B</w:t>
      </w:r>
      <w:r w:rsidRPr="00442513">
        <w:rPr>
          <w:i/>
          <w:vertAlign w:val="subscript"/>
        </w:rPr>
        <w:t>MSY</w:t>
      </w:r>
      <w:r w:rsidRPr="00442513" w:rsidDel="00854231">
        <w:t xml:space="preserve"> </w:t>
      </w:r>
      <w:r w:rsidRPr="00442513">
        <w:t>no catch is permitted).  Such a harvest policy introduces intolerable volatility to the fishery, disrupting markets, processors, and livelihoods.</w:t>
      </w:r>
    </w:p>
    <w:p w14:paraId="29D49865" w14:textId="4FA07989" w:rsidR="00D273F3" w:rsidRDefault="00D273F3"/>
    <w:p w14:paraId="5A6357BB" w14:textId="77777777" w:rsidR="00D273F3" w:rsidRDefault="00D273F3"/>
    <w:p w14:paraId="19CB31DC" w14:textId="234484B0" w:rsidR="00F25970" w:rsidRDefault="00F25970"/>
    <w:p w14:paraId="5333DCB2" w14:textId="77777777" w:rsidR="00F25970" w:rsidRPr="00442513" w:rsidRDefault="00F25970" w:rsidP="00F25970">
      <w:pPr>
        <w:widowControl w:val="0"/>
        <w:autoSpaceDE w:val="0"/>
        <w:autoSpaceDN w:val="0"/>
        <w:adjustRightInd w:val="0"/>
        <w:rPr>
          <w:i/>
        </w:rPr>
      </w:pPr>
      <w:r w:rsidRPr="00442513">
        <w:rPr>
          <w:i/>
        </w:rPr>
        <w:t>Looking forward</w:t>
      </w:r>
    </w:p>
    <w:p w14:paraId="07A6713C" w14:textId="77777777" w:rsidR="00F25970" w:rsidRPr="00442513" w:rsidRDefault="00F25970" w:rsidP="00F25970">
      <w:r w:rsidRPr="00442513">
        <w:t xml:space="preserve">Our model is a simplified harvested system that illustrates how monitoring precision can be more or less valuable depending on how close an ecosystem is to a biological or management threshold. Our goal in this study was to provide strategy; however, to develop tactics based on the principles described above, managers will need to integrate additional ecological and economic complexity. Ecologically, shifts in productivity, species interactions, and environmental variability can change a species’ carrying capacity and rebound potential </w:t>
      </w:r>
      <w:r w:rsidRPr="00442513">
        <w:fldChar w:fldCharType="begin"/>
      </w:r>
      <w:r>
        <w:instrText xml:space="preserve"> ADDIN EN.CITE &lt;EndNote&gt;&lt;Cite&gt;&lt;Author&gt;Ingeman&lt;/Author&gt;&lt;Year&gt;2019&lt;/Year&gt;&lt;RecNum&gt;6325&lt;/RecNum&gt;&lt;DisplayText&gt;[38]&lt;/DisplayText&gt;&lt;record&gt;&lt;rec-number&gt;6325&lt;/rec-number&gt;&lt;foreign-keys&gt;&lt;key app="EN" db-id="x0w5wa9airxrfze0ft2x20vgz0w5wpet5ftz" timestamp="1614114740" guid="788fb064-f03c-466c-878a-44149d24f836"&gt;6325&lt;/key&gt;&lt;/foreign-keys&gt;&lt;ref-type name="Journal Article"&gt;17&lt;/ref-type&gt;&lt;contributors&gt;&lt;authors&gt;&lt;author&gt;Ingeman, Kurt E.&lt;/author&gt;&lt;author&gt;Samhouri, Jameal F.&lt;/author&gt;&lt;author&gt;Stier, Adrian C.&lt;/author&gt;&lt;/authors&gt;&lt;/contributors&gt;&lt;titles&gt;&lt;title&gt;Ocean recoveries for tomorrow’s Earth: Hitting a moving target&lt;/title&gt;&lt;secondary-title&gt;Science&lt;/secondary-title&gt;&lt;/titles&gt;&lt;periodical&gt;&lt;full-title&gt;Science&lt;/full-title&gt;&lt;/periodical&gt;&lt;pages&gt;eaav1004&lt;/pages&gt;&lt;volume&gt;363&lt;/volume&gt;&lt;number&gt;6425&lt;/number&gt;&lt;dates&gt;&lt;year&gt;2019&lt;/year&gt;&lt;/dates&gt;&lt;urls&gt;&lt;related-urls&gt;&lt;url&gt;http://science.sciencemag.org/content/363/6425/eaav1004.abstract&lt;/url&gt;&lt;/related-urls&gt;&lt;/urls&gt;&lt;electronic-resource-num&gt;10.1126/science.aav1004&lt;/electronic-resource-num&gt;&lt;/record&gt;&lt;/Cite&gt;&lt;/EndNote&gt;</w:instrText>
      </w:r>
      <w:r w:rsidRPr="00442513">
        <w:fldChar w:fldCharType="separate"/>
      </w:r>
      <w:r>
        <w:rPr>
          <w:noProof/>
        </w:rPr>
        <w:t>[38]</w:t>
      </w:r>
      <w:r w:rsidRPr="00442513">
        <w:fldChar w:fldCharType="end"/>
      </w:r>
      <w:r w:rsidRPr="00442513">
        <w:t xml:space="preserve">, and consequently alter what harvest rates maximize yield and avoid collapse. Economically, it will be important to consider additional complexity in the shape of the cost function for monitoring, and dynamic prices for a harvested species such as increases in price as species become rare </w:t>
      </w:r>
      <w:r w:rsidRPr="00442513">
        <w:fldChar w:fldCharType="begin"/>
      </w:r>
      <w:r>
        <w:instrText xml:space="preserve"> ADDIN EN.CITE &lt;EndNote&gt;&lt;Cite&gt;&lt;Author&gt;Courchamp&lt;/Author&gt;&lt;Year&gt;2006&lt;/Year&gt;&lt;RecNum&gt;6510&lt;/RecNum&gt;&lt;DisplayText&gt;[39]&lt;/DisplayText&gt;&lt;record&gt;&lt;rec-number&gt;6510&lt;/rec-number&gt;&lt;foreign-keys&gt;&lt;key app="EN" db-id="x0w5wa9airxrfze0ft2x20vgz0w5wpet5ftz" timestamp="1642789335" guid="0c7b89e7-7e1d-47c2-9f8e-dd7146548cdb"&gt;6510&lt;/key&gt;&lt;/foreign-keys&gt;&lt;ref-type name="Journal Article"&gt;17&lt;/ref-type&gt;&lt;contributors&gt;&lt;authors&gt;&lt;author&gt;Courchamp, F.&lt;/author&gt;&lt;author&gt;Angulo, E.&lt;/author&gt;&lt;author&gt;Rivalan, P.&lt;/author&gt;&lt;author&gt;Hall, R. J.&lt;/author&gt;&lt;author&gt;Signoret, L.&lt;/author&gt;&lt;author&gt;Bull, L.&lt;/author&gt;&lt;author&gt;Meinard, Y.&lt;/author&gt;&lt;/authors&gt;&lt;/contributors&gt;&lt;auth-address&gt;Univ Paris 11, UMR CNRS 8079, Orsay, France&lt;/auth-address&gt;&lt;titles&gt;&lt;title&gt;Rarity value and species extinction: The anthropogenic Allee effect&lt;/title&gt;&lt;secondary-title&gt;Plos Biology&lt;/secondary-title&gt;&lt;alt-title&gt;Plos Biol&lt;/alt-title&gt;&lt;/titles&gt;&lt;periodical&gt;&lt;full-title&gt;PLoS Biology&lt;/full-title&gt;&lt;/periodical&gt;&lt;alt-periodical&gt;&lt;full-title&gt;PLoS Biol&lt;/full-title&gt;&lt;/alt-periodical&gt;&lt;pages&gt;2405-2410&lt;/pages&gt;&lt;volume&gt;4&lt;/volume&gt;&lt;number&gt;12&lt;/number&gt;&lt;keywords&gt;&lt;keyword&gt;conservation&lt;/keyword&gt;&lt;keyword&gt;sturgeon&lt;/keyword&gt;&lt;keyword&gt;impacts&lt;/keyword&gt;&lt;keyword&gt;trade&lt;/keyword&gt;&lt;/keywords&gt;&lt;dates&gt;&lt;year&gt;2006&lt;/year&gt;&lt;pub-dates&gt;&lt;date&gt;Dec&lt;/date&gt;&lt;/pub-dates&gt;&lt;/dates&gt;&lt;isbn&gt;1544-9173&lt;/isbn&gt;&lt;accession-num&gt;WOS:000242789100023&lt;/accession-num&gt;&lt;urls&gt;&lt;related-urls&gt;&lt;url&gt;&amp;lt;Go to ISI&amp;gt;://WOS:000242789100023&lt;/url&gt;&lt;/related-urls&gt;&lt;/urls&gt;&lt;electronic-resource-num&gt;ARTN e415&amp;#xD;10.1371/journal.pbio.0040415&lt;/electronic-resource-num&gt;&lt;language&gt;English&lt;/language&gt;&lt;/record&gt;&lt;/Cite&gt;&lt;/EndNote&gt;</w:instrText>
      </w:r>
      <w:r w:rsidRPr="00442513">
        <w:fldChar w:fldCharType="separate"/>
      </w:r>
      <w:r>
        <w:rPr>
          <w:noProof/>
        </w:rPr>
        <w:t>[39]</w:t>
      </w:r>
      <w:r w:rsidRPr="00442513">
        <w:fldChar w:fldCharType="end"/>
      </w:r>
      <w:r w:rsidRPr="00442513">
        <w:t>. Moreover, as motoring technology advances (</w:t>
      </w:r>
      <w:proofErr w:type="gramStart"/>
      <w:r w:rsidRPr="00442513">
        <w:t>e.g.</w:t>
      </w:r>
      <w:proofErr w:type="gramEnd"/>
      <w:r w:rsidRPr="00442513">
        <w:t xml:space="preserve"> through remote sensing), the relative cost of high precision monitoring may decrease, allowing high frequency monitoring at all times. Consideration of all of these additional sources of complexity will benefit managers considering how to optimize their monitoring strategies now and in the future as ecosystems change. </w:t>
      </w:r>
    </w:p>
    <w:p w14:paraId="16A31D85" w14:textId="301D57CC" w:rsidR="00F25970" w:rsidRDefault="00F25970"/>
    <w:p w14:paraId="70BDFF14" w14:textId="43EF9787" w:rsidR="00927E88" w:rsidRDefault="00927E88"/>
    <w:p w14:paraId="5994FA39" w14:textId="435030ED" w:rsidR="00927E88" w:rsidRDefault="00927E88"/>
    <w:p w14:paraId="7671D43A" w14:textId="41F56519" w:rsidR="00927E88" w:rsidRDefault="00927E88">
      <w:r>
        <w:t xml:space="preserve">Under discussion sub heading </w:t>
      </w:r>
    </w:p>
    <w:p w14:paraId="7E343816" w14:textId="34589330" w:rsidR="00927E88" w:rsidRDefault="00927E88"/>
    <w:p w14:paraId="13847CF4" w14:textId="77777777" w:rsidR="00927E88" w:rsidRPr="00442513" w:rsidRDefault="00927E88" w:rsidP="00927E88">
      <w:r w:rsidRPr="00442513">
        <w:rPr>
          <w:rFonts w:eastAsia="Helvetica Neue"/>
        </w:rPr>
        <w:t xml:space="preserve">Commercial fisheries offer an interesting case study in placing the burden of monitoring costs on the industry versus the government. For example, a subset of fisheries in New Zealand, Canada, and Australia, the fishing industry is primarily responsible for monitoring costs, with the philosophy that the burden of proof for sustainability is on the stakeholder interested in exploiting the system [15]. An example of this is the commercial Pacific herring fishery in the Canadian North Pacific, where monitoring of spring herring spawns was historically funded by one of several stakeholders, the fishing industry. However, the fishery crossed a limit reference point over a decade ago and has not fully recovered [37]. As a consequence, monitoring effort has declined, which impacts the precision of biomass estimates, and may prolong closures. This case highlights a key consideration in monitoring programs: if information is most valuable as a </w:t>
      </w:r>
      <w:proofErr w:type="gramStart"/>
      <w:r w:rsidRPr="00442513">
        <w:rPr>
          <w:rFonts w:eastAsia="Helvetica Neue"/>
        </w:rPr>
        <w:t>fishery approaches</w:t>
      </w:r>
      <w:proofErr w:type="gramEnd"/>
      <w:r w:rsidRPr="00442513">
        <w:rPr>
          <w:rFonts w:eastAsia="Helvetica Neue"/>
        </w:rPr>
        <w:t xml:space="preserve"> and recovers from collapse, it is best to ensure that funding for monitoring is independent from stock size.</w:t>
      </w:r>
    </w:p>
    <w:p w14:paraId="45136131" w14:textId="5CBA628C" w:rsidR="00927E88" w:rsidRDefault="00927E88"/>
    <w:p w14:paraId="756380C1" w14:textId="74380302" w:rsidR="00927E88" w:rsidRDefault="009270FA">
      <w:r>
        <w:t xml:space="preserve">Threshold ambiguity </w:t>
      </w:r>
    </w:p>
    <w:p w14:paraId="23D86BF3" w14:textId="40B20572" w:rsidR="009270FA" w:rsidRDefault="009270FA"/>
    <w:p w14:paraId="5A1578BA" w14:textId="77777777" w:rsidR="009270FA" w:rsidRPr="00442513" w:rsidRDefault="009270FA" w:rsidP="009270FA">
      <w:pPr>
        <w:ind w:firstLine="720"/>
      </w:pPr>
      <w:r w:rsidRPr="00442513">
        <w:t xml:space="preserve">Our model is heuristic in its evaluation of monitoring in the presence of critical thresholds. The results are broadly applicable to systems where there is interest in avoiding another type of threshold, like a limit reference point or a productivity threshold. Indeed, our model demonstrates the increasing importance of monitoring information as a system approaches a threshold after which productivity is declining. We examine consequences of monitoring for different thresholds, some of which (depensation) will be difficult to identify, while others (limit reference points like </w:t>
      </w:r>
      <m:oMath>
        <m:sSub>
          <m:sSubPr>
            <m:ctrlPr>
              <w:rPr>
                <w:rFonts w:ascii="Cambria Math" w:hAnsi="Cambria Math"/>
                <w:i/>
              </w:rPr>
            </m:ctrlPr>
          </m:sSubPr>
          <m:e>
            <m:r>
              <w:rPr>
                <w:rFonts w:ascii="Cambria Math" w:hAnsi="Cambria Math"/>
              </w:rPr>
              <m:t>0.8B</m:t>
            </m:r>
          </m:e>
          <m:sub>
            <m:r>
              <w:rPr>
                <w:rFonts w:ascii="Cambria Math" w:hAnsi="Cambria Math"/>
              </w:rPr>
              <m:t>MSY</m:t>
            </m:r>
          </m:sub>
        </m:sSub>
      </m:oMath>
      <w:r w:rsidRPr="00442513">
        <w:t>) that are important, but do not lead to irreversible harm.</w:t>
      </w:r>
    </w:p>
    <w:p w14:paraId="0887BAC9" w14:textId="77777777" w:rsidR="009270FA" w:rsidRDefault="009270FA"/>
    <w:sectPr w:rsidR="009270FA" w:rsidSect="007D2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70"/>
    <w:rsid w:val="000449E8"/>
    <w:rsid w:val="000609A6"/>
    <w:rsid w:val="000678E2"/>
    <w:rsid w:val="00114B35"/>
    <w:rsid w:val="001A23EC"/>
    <w:rsid w:val="001B080A"/>
    <w:rsid w:val="001E6B9B"/>
    <w:rsid w:val="00200BA0"/>
    <w:rsid w:val="00282D30"/>
    <w:rsid w:val="002E33B1"/>
    <w:rsid w:val="00343702"/>
    <w:rsid w:val="00391121"/>
    <w:rsid w:val="003F6BEA"/>
    <w:rsid w:val="004079D8"/>
    <w:rsid w:val="004550D1"/>
    <w:rsid w:val="00493024"/>
    <w:rsid w:val="004F66AB"/>
    <w:rsid w:val="00550942"/>
    <w:rsid w:val="00571905"/>
    <w:rsid w:val="00596785"/>
    <w:rsid w:val="00664D99"/>
    <w:rsid w:val="00686F14"/>
    <w:rsid w:val="006E5D52"/>
    <w:rsid w:val="006E6BD5"/>
    <w:rsid w:val="00705D96"/>
    <w:rsid w:val="00720D2D"/>
    <w:rsid w:val="0075449B"/>
    <w:rsid w:val="007C058A"/>
    <w:rsid w:val="007D20BF"/>
    <w:rsid w:val="007D3ED4"/>
    <w:rsid w:val="008215E9"/>
    <w:rsid w:val="00856597"/>
    <w:rsid w:val="00890BA0"/>
    <w:rsid w:val="008C6762"/>
    <w:rsid w:val="008D20B3"/>
    <w:rsid w:val="008D3F05"/>
    <w:rsid w:val="009157E2"/>
    <w:rsid w:val="00923DC7"/>
    <w:rsid w:val="009270FA"/>
    <w:rsid w:val="00927E88"/>
    <w:rsid w:val="00975D52"/>
    <w:rsid w:val="009A0E94"/>
    <w:rsid w:val="009F57D9"/>
    <w:rsid w:val="00A140EF"/>
    <w:rsid w:val="00A4006E"/>
    <w:rsid w:val="00AF21D0"/>
    <w:rsid w:val="00AF56DB"/>
    <w:rsid w:val="00B65618"/>
    <w:rsid w:val="00BA05D9"/>
    <w:rsid w:val="00BD3064"/>
    <w:rsid w:val="00BF0951"/>
    <w:rsid w:val="00C35090"/>
    <w:rsid w:val="00CB697F"/>
    <w:rsid w:val="00CC5C40"/>
    <w:rsid w:val="00CE1720"/>
    <w:rsid w:val="00D273F3"/>
    <w:rsid w:val="00D6027F"/>
    <w:rsid w:val="00DE531D"/>
    <w:rsid w:val="00E46DA0"/>
    <w:rsid w:val="00E82E36"/>
    <w:rsid w:val="00E84DF9"/>
    <w:rsid w:val="00EE0399"/>
    <w:rsid w:val="00F25970"/>
    <w:rsid w:val="00F95957"/>
    <w:rsid w:val="00FB0D67"/>
    <w:rsid w:val="00FC2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B7633E"/>
  <w15:chartTrackingRefBased/>
  <w15:docId w15:val="{0D59E890-A477-C744-BE06-0E2AA1929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1</cp:revision>
  <dcterms:created xsi:type="dcterms:W3CDTF">2022-03-21T18:01:00Z</dcterms:created>
  <dcterms:modified xsi:type="dcterms:W3CDTF">2022-03-21T23:27:00Z</dcterms:modified>
</cp:coreProperties>
</file>