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2CC80" w14:textId="77777777" w:rsidR="00C31B87" w:rsidRDefault="00C31B87" w:rsidP="00C31B87">
      <w:pPr>
        <w:rPr>
          <w:b/>
        </w:rPr>
      </w:pPr>
      <w:r>
        <w:rPr>
          <w:b/>
        </w:rPr>
        <w:t>ELECTRONIC SUPPLEMENTARY INFORMATION</w:t>
      </w:r>
    </w:p>
    <w:p w14:paraId="136C3DF8" w14:textId="77777777" w:rsidR="00C31B87" w:rsidRDefault="00C31B87" w:rsidP="00C31B87">
      <w:pPr>
        <w:rPr>
          <w:b/>
        </w:rPr>
      </w:pPr>
      <w:r>
        <w:rPr>
          <w:b/>
        </w:rPr>
        <w:t xml:space="preserve">1. </w:t>
      </w:r>
      <w:r w:rsidRPr="009727DB">
        <w:rPr>
          <w:b/>
        </w:rPr>
        <w:t>Details of Model and Management Strategy Evaluation</w:t>
      </w:r>
    </w:p>
    <w:p w14:paraId="3A920320" w14:textId="77777777" w:rsidR="00C31B87" w:rsidRDefault="00C31B87" w:rsidP="00C31B87">
      <w:pPr>
        <w:rPr>
          <w:b/>
        </w:rPr>
      </w:pPr>
    </w:p>
    <w:p w14:paraId="0E8EA6AA" w14:textId="77777777" w:rsidR="00C31B87" w:rsidRDefault="00C31B87" w:rsidP="00C31B87">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S</w:t>
      </w:r>
      <w:r w:rsidRPr="00957F1F">
        <w:rPr>
          <w:rFonts w:ascii="Helvetica" w:hAnsi="Helvetica"/>
          <w:b/>
          <w:sz w:val="22"/>
          <w:szCs w:val="22"/>
        </w:rPr>
        <w:t>1:</w:t>
      </w:r>
      <w:r w:rsidRPr="00957F1F">
        <w:rPr>
          <w:rFonts w:ascii="Helvetica" w:hAnsi="Helvetica"/>
          <w:sz w:val="22"/>
          <w:szCs w:val="22"/>
        </w:rPr>
        <w:t xml:space="preserve"> Description of the model configuration demonstrating: A) variation in the strength of the tipping point for continuous time version of the </w:t>
      </w:r>
      <w:r>
        <w:rPr>
          <w:rFonts w:ascii="Helvetica" w:hAnsi="Helvetica"/>
          <w:sz w:val="22"/>
          <w:szCs w:val="22"/>
        </w:rPr>
        <w:t>A</w:t>
      </w:r>
      <w:r w:rsidRPr="00957F1F">
        <w:rPr>
          <w:rFonts w:ascii="Helvetica" w:hAnsi="Helvetica"/>
          <w:sz w:val="22"/>
          <w:szCs w:val="22"/>
        </w:rPr>
        <w:t xml:space="preserve">llee effect model.  B) the scaling relationship between the coefficient of variation (CV) and the degree to which the sampled biomass differs from the true biomass. C) The harvest control rule – a hockey stick function. </w:t>
      </w:r>
    </w:p>
    <w:p w14:paraId="119C788A" w14:textId="77777777" w:rsidR="00C31B87" w:rsidRDefault="00C31B87" w:rsidP="00C31B87">
      <w:pPr>
        <w:rPr>
          <w:rFonts w:ascii="Helvetica" w:hAnsi="Helvetica"/>
          <w:sz w:val="22"/>
          <w:szCs w:val="22"/>
        </w:rPr>
      </w:pPr>
    </w:p>
    <w:p w14:paraId="3AC90320" w14:textId="77777777" w:rsidR="00C31B87" w:rsidRPr="00957F1F" w:rsidRDefault="00C31B87" w:rsidP="00C31B87">
      <w:pPr>
        <w:rPr>
          <w:rFonts w:ascii="Helvetica" w:hAnsi="Helvetica"/>
          <w:sz w:val="22"/>
          <w:szCs w:val="22"/>
        </w:rPr>
      </w:pPr>
    </w:p>
    <w:p w14:paraId="4C89B6EB" w14:textId="77777777" w:rsidR="00C31B87" w:rsidRPr="00957F1F" w:rsidRDefault="00C31B87" w:rsidP="00C31B87">
      <w:pPr>
        <w:rPr>
          <w:rFonts w:ascii="Helvetica" w:hAnsi="Helvetica"/>
          <w:sz w:val="22"/>
          <w:szCs w:val="22"/>
        </w:rPr>
      </w:pPr>
      <w:r>
        <w:rPr>
          <w:rFonts w:ascii="Helvetica" w:hAnsi="Helvetica"/>
          <w:noProof/>
          <w:sz w:val="22"/>
          <w:szCs w:val="22"/>
        </w:rPr>
        <w:drawing>
          <wp:inline distT="0" distB="0" distL="0" distR="0" wp14:anchorId="5A3B3C79" wp14:editId="2D8BC566">
            <wp:extent cx="2936929" cy="621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2951257" cy="6243889"/>
                    </a:xfrm>
                    <a:prstGeom prst="rect">
                      <a:avLst/>
                    </a:prstGeom>
                  </pic:spPr>
                </pic:pic>
              </a:graphicData>
            </a:graphic>
          </wp:inline>
        </w:drawing>
      </w:r>
    </w:p>
    <w:p w14:paraId="3802F561" w14:textId="6620B2EB" w:rsidR="00C31B87" w:rsidRDefault="00C31B87">
      <w:r>
        <w:br w:type="page"/>
      </w:r>
    </w:p>
    <w:p w14:paraId="1CFA70F0" w14:textId="77777777" w:rsidR="00EF4AE6" w:rsidRDefault="00EF4AE6" w:rsidP="00EF4AE6">
      <w:pPr>
        <w:rPr>
          <w:b/>
        </w:rPr>
      </w:pPr>
      <w:r>
        <w:rPr>
          <w:b/>
        </w:rPr>
        <w:lastRenderedPageBreak/>
        <w:t>ELECTRONIC SUPPLEMENTARY INFORMATION</w:t>
      </w:r>
    </w:p>
    <w:p w14:paraId="4ECB7304" w14:textId="77777777" w:rsidR="00EF4AE6" w:rsidRPr="00CD3FF9" w:rsidRDefault="00EF4AE6" w:rsidP="00EF4AE6">
      <w:pPr>
        <w:rPr>
          <w:rFonts w:ascii="Helvetica" w:hAnsi="Helvetica"/>
          <w:b/>
          <w:sz w:val="22"/>
          <w:szCs w:val="22"/>
        </w:rPr>
      </w:pPr>
      <w:r>
        <w:rPr>
          <w:b/>
        </w:rPr>
        <w:t xml:space="preserve">2. </w:t>
      </w:r>
      <w:r w:rsidRPr="00CD3FF9">
        <w:rPr>
          <w:b/>
        </w:rPr>
        <w:t xml:space="preserve">Parameter description of the model parameters and symbols </w:t>
      </w:r>
    </w:p>
    <w:p w14:paraId="6E083365" w14:textId="77777777" w:rsidR="00EF4AE6" w:rsidRDefault="00EF4AE6" w:rsidP="00EF4AE6">
      <w:pPr>
        <w:rPr>
          <w:b/>
        </w:rPr>
      </w:pPr>
      <w:r w:rsidRPr="005F30DC">
        <w:rPr>
          <w:b/>
        </w:rPr>
        <w:t xml:space="preserve"> </w:t>
      </w:r>
    </w:p>
    <w:p w14:paraId="4BA8ACD1" w14:textId="77777777" w:rsidR="00EF4AE6" w:rsidRDefault="00EF4AE6" w:rsidP="00EF4AE6">
      <w:r w:rsidRPr="005F30DC">
        <w:rPr>
          <w:b/>
        </w:rPr>
        <w:t>Table S2.</w:t>
      </w:r>
      <w:r>
        <w:t xml:space="preserve"> </w:t>
      </w:r>
      <w:r w:rsidRPr="008C11B2">
        <w:t>Symbol and parameter values used in management strategy evaluation model</w:t>
      </w:r>
    </w:p>
    <w:p w14:paraId="20FAA2F9" w14:textId="77777777" w:rsidR="00EF4AE6" w:rsidRDefault="00EF4AE6" w:rsidP="00EF4AE6"/>
    <w:tbl>
      <w:tblPr>
        <w:tblStyle w:val="TableGrid"/>
        <w:tblpPr w:leftFromText="180" w:rightFromText="180" w:vertAnchor="page" w:horzAnchor="page" w:tblpX="1630" w:tblpY="2705"/>
        <w:tblW w:w="0" w:type="auto"/>
        <w:tblLook w:val="04A0" w:firstRow="1" w:lastRow="0" w:firstColumn="1" w:lastColumn="0" w:noHBand="0" w:noVBand="1"/>
      </w:tblPr>
      <w:tblGrid>
        <w:gridCol w:w="1621"/>
        <w:gridCol w:w="5271"/>
      </w:tblGrid>
      <w:tr w:rsidR="00EF4AE6" w14:paraId="719B9573" w14:textId="77777777" w:rsidTr="005A04A9">
        <w:trPr>
          <w:trHeight w:val="295"/>
        </w:trPr>
        <w:tc>
          <w:tcPr>
            <w:tcW w:w="1621" w:type="dxa"/>
            <w:vAlign w:val="center"/>
          </w:tcPr>
          <w:p w14:paraId="4A4AE427" w14:textId="77777777" w:rsidR="00EF4AE6" w:rsidRDefault="00EF4AE6" w:rsidP="005A04A9">
            <w:pPr>
              <w:rPr>
                <w:b/>
              </w:rPr>
            </w:pPr>
            <w:r>
              <w:rPr>
                <w:b/>
              </w:rPr>
              <w:t>Parameter</w:t>
            </w:r>
          </w:p>
        </w:tc>
        <w:tc>
          <w:tcPr>
            <w:tcW w:w="5271" w:type="dxa"/>
            <w:vAlign w:val="center"/>
          </w:tcPr>
          <w:p w14:paraId="361F80C3" w14:textId="77777777" w:rsidR="00EF4AE6" w:rsidRDefault="00EF4AE6" w:rsidP="005A04A9">
            <w:pPr>
              <w:rPr>
                <w:b/>
              </w:rPr>
            </w:pPr>
            <w:r>
              <w:rPr>
                <w:b/>
              </w:rPr>
              <w:t>Description</w:t>
            </w:r>
          </w:p>
        </w:tc>
      </w:tr>
      <w:tr w:rsidR="00EF4AE6" w14:paraId="20438073" w14:textId="77777777" w:rsidTr="005A04A9">
        <w:trPr>
          <w:trHeight w:val="325"/>
        </w:trPr>
        <w:tc>
          <w:tcPr>
            <w:tcW w:w="1621" w:type="dxa"/>
            <w:vAlign w:val="center"/>
          </w:tcPr>
          <w:p w14:paraId="78C14A18"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r</m:t>
                </m:r>
              </m:oMath>
            </m:oMathPara>
          </w:p>
        </w:tc>
        <w:tc>
          <w:tcPr>
            <w:tcW w:w="5271" w:type="dxa"/>
            <w:vAlign w:val="center"/>
          </w:tcPr>
          <w:p w14:paraId="2A447B86" w14:textId="77777777" w:rsidR="00EF4AE6" w:rsidRDefault="00EF4AE6" w:rsidP="005A04A9">
            <w:pPr>
              <w:rPr>
                <w:rFonts w:ascii="Helvetica" w:hAnsi="Helvetica"/>
                <w:sz w:val="22"/>
                <w:szCs w:val="22"/>
              </w:rPr>
            </w:pPr>
            <w:r w:rsidRPr="00957F1F">
              <w:rPr>
                <w:rFonts w:ascii="Helvetica" w:hAnsi="Helvetica"/>
                <w:sz w:val="22"/>
                <w:szCs w:val="22"/>
              </w:rPr>
              <w:t>intrinsic rate of increase</w:t>
            </w:r>
          </w:p>
        </w:tc>
      </w:tr>
      <w:tr w:rsidR="00EF4AE6" w14:paraId="5B84A886" w14:textId="77777777" w:rsidTr="005A04A9">
        <w:trPr>
          <w:trHeight w:val="325"/>
        </w:trPr>
        <w:tc>
          <w:tcPr>
            <w:tcW w:w="1621" w:type="dxa"/>
            <w:vAlign w:val="center"/>
          </w:tcPr>
          <w:p w14:paraId="58A37B2A" w14:textId="77777777" w:rsidR="00EF4AE6" w:rsidRDefault="00FB21C6" w:rsidP="005A04A9">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m:oMathPara>
          </w:p>
        </w:tc>
        <w:tc>
          <w:tcPr>
            <w:tcW w:w="5271" w:type="dxa"/>
            <w:vAlign w:val="center"/>
          </w:tcPr>
          <w:p w14:paraId="12B8EDBA" w14:textId="77777777" w:rsidR="00EF4AE6" w:rsidRDefault="00EF4AE6" w:rsidP="005A04A9">
            <w:pPr>
              <w:rPr>
                <w:b/>
              </w:rPr>
            </w:pP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p>
        </w:tc>
      </w:tr>
      <w:tr w:rsidR="00EF4AE6" w14:paraId="090F3E4F" w14:textId="77777777" w:rsidTr="005A04A9">
        <w:trPr>
          <w:trHeight w:val="530"/>
        </w:trPr>
        <w:tc>
          <w:tcPr>
            <w:tcW w:w="1621" w:type="dxa"/>
            <w:vAlign w:val="center"/>
          </w:tcPr>
          <w:p w14:paraId="0B42001D" w14:textId="77777777" w:rsidR="00EF4AE6" w:rsidRDefault="00EF4AE6" w:rsidP="005A04A9">
            <w:pPr>
              <w:jc w:val="center"/>
              <w:rPr>
                <w:b/>
              </w:rPr>
            </w:pPr>
            <w:r w:rsidRPr="00957F1F">
              <w:rPr>
                <w:rFonts w:ascii="Helvetica" w:hAnsi="Helvetica"/>
                <w:i/>
                <w:sz w:val="22"/>
                <w:szCs w:val="22"/>
              </w:rPr>
              <w:t>K</w:t>
            </w:r>
          </w:p>
        </w:tc>
        <w:tc>
          <w:tcPr>
            <w:tcW w:w="5271" w:type="dxa"/>
            <w:vAlign w:val="center"/>
          </w:tcPr>
          <w:p w14:paraId="7E0B0D6E" w14:textId="77777777" w:rsidR="00EF4AE6" w:rsidRDefault="00EF4AE6" w:rsidP="005A04A9">
            <w:pPr>
              <w:rPr>
                <w:b/>
              </w:rPr>
            </w:pP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p>
        </w:tc>
      </w:tr>
      <w:tr w:rsidR="00EF4AE6" w14:paraId="2F44B80D" w14:textId="77777777" w:rsidTr="005A04A9">
        <w:trPr>
          <w:trHeight w:val="801"/>
        </w:trPr>
        <w:tc>
          <w:tcPr>
            <w:tcW w:w="1621" w:type="dxa"/>
            <w:vAlign w:val="center"/>
          </w:tcPr>
          <w:p w14:paraId="28D60E3B" w14:textId="77777777" w:rsidR="00EF4AE6" w:rsidRDefault="00EF4AE6" w:rsidP="005A04A9">
            <w:pPr>
              <w:rPr>
                <w:b/>
              </w:rPr>
            </w:pPr>
            <m:oMathPara>
              <m:oMath>
                <m:r>
                  <w:rPr>
                    <w:rFonts w:ascii="Cambria Math" w:hAnsi="Cambria Math"/>
                    <w:sz w:val="22"/>
                    <w:szCs w:val="22"/>
                  </w:rPr>
                  <m:t>A</m:t>
                </m:r>
              </m:oMath>
            </m:oMathPara>
          </w:p>
        </w:tc>
        <w:tc>
          <w:tcPr>
            <w:tcW w:w="5271" w:type="dxa"/>
            <w:vAlign w:val="center"/>
          </w:tcPr>
          <w:p w14:paraId="36ECA362" w14:textId="77777777" w:rsidR="00EF4AE6" w:rsidRDefault="00EF4AE6" w:rsidP="005A04A9">
            <w:pPr>
              <w:rPr>
                <w:b/>
              </w:rPr>
            </w:pPr>
            <w:r>
              <w:rPr>
                <w:rFonts w:ascii="Helvetica" w:hAnsi="Helvetica"/>
                <w:sz w:val="22"/>
                <w:szCs w:val="22"/>
              </w:rPr>
              <w:t>biomass at which the population growth is negative &amp; strength of Allee effect</w:t>
            </w:r>
          </w:p>
        </w:tc>
      </w:tr>
      <w:tr w:rsidR="00EF4AE6" w14:paraId="5927887E" w14:textId="77777777" w:rsidTr="005A04A9">
        <w:trPr>
          <w:trHeight w:val="553"/>
        </w:trPr>
        <w:tc>
          <w:tcPr>
            <w:tcW w:w="1621" w:type="dxa"/>
            <w:vAlign w:val="center"/>
          </w:tcPr>
          <w:p w14:paraId="7A558F34" w14:textId="77777777" w:rsidR="00EF4AE6" w:rsidRPr="00957F1F" w:rsidRDefault="00FB21C6" w:rsidP="005A04A9">
            <w:pPr>
              <w:rPr>
                <w:rFonts w:ascii="Helvetica" w:hAnsi="Helvetica"/>
                <w:sz w:val="22"/>
                <w:szCs w:val="22"/>
              </w:rPr>
            </w:pPr>
            <m:oMathPara>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m:oMathPara>
          </w:p>
          <w:p w14:paraId="3F63BED8" w14:textId="77777777" w:rsidR="00EF4AE6" w:rsidRDefault="00EF4AE6" w:rsidP="005A04A9">
            <w:pPr>
              <w:rPr>
                <w:b/>
              </w:rPr>
            </w:pPr>
          </w:p>
        </w:tc>
        <w:tc>
          <w:tcPr>
            <w:tcW w:w="5271" w:type="dxa"/>
            <w:vAlign w:val="center"/>
          </w:tcPr>
          <w:p w14:paraId="709D2F2B" w14:textId="77777777" w:rsidR="00EF4AE6" w:rsidRDefault="00EF4AE6" w:rsidP="005A04A9">
            <w:pPr>
              <w:rPr>
                <w:b/>
              </w:rPr>
            </w:pPr>
            <w:r w:rsidRPr="00957F1F">
              <w:rPr>
                <w:rFonts w:ascii="Helvetica" w:hAnsi="Helvetica"/>
                <w:sz w:val="22"/>
                <w:szCs w:val="22"/>
              </w:rPr>
              <w:t xml:space="preserve">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tc>
      </w:tr>
      <w:tr w:rsidR="00EF4AE6" w14:paraId="733C05A7" w14:textId="77777777" w:rsidTr="005A04A9">
        <w:trPr>
          <w:trHeight w:val="530"/>
        </w:trPr>
        <w:tc>
          <w:tcPr>
            <w:tcW w:w="1621" w:type="dxa"/>
            <w:vAlign w:val="center"/>
          </w:tcPr>
          <w:p w14:paraId="5CAC3DFC" w14:textId="77777777" w:rsidR="00EF4AE6" w:rsidRDefault="00FB21C6" w:rsidP="005A04A9">
            <w:pPr>
              <w:rPr>
                <w:b/>
              </w:rPr>
            </w:pPr>
            <m:oMathPara>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m:oMathPara>
          </w:p>
        </w:tc>
        <w:tc>
          <w:tcPr>
            <w:tcW w:w="5271" w:type="dxa"/>
            <w:vAlign w:val="center"/>
          </w:tcPr>
          <w:p w14:paraId="56D2E22F" w14:textId="77777777" w:rsidR="00EF4AE6" w:rsidRDefault="00EF4AE6" w:rsidP="005A04A9">
            <w:pPr>
              <w:rPr>
                <w:b/>
              </w:rPr>
            </w:pPr>
            <w:r w:rsidRPr="00F3098E">
              <w:rPr>
                <w:rFonts w:ascii="Helvetica" w:hAnsi="Helvetica"/>
                <w:sz w:val="22"/>
                <w:szCs w:val="22"/>
              </w:rPr>
              <w:t>estimated biomass from a previous year</w:t>
            </w:r>
          </w:p>
        </w:tc>
      </w:tr>
      <w:tr w:rsidR="00EF4AE6" w14:paraId="3132386C" w14:textId="77777777" w:rsidTr="005A04A9">
        <w:trPr>
          <w:trHeight w:val="530"/>
        </w:trPr>
        <w:tc>
          <w:tcPr>
            <w:tcW w:w="1621" w:type="dxa"/>
            <w:vAlign w:val="center"/>
          </w:tcPr>
          <w:p w14:paraId="60B1DD0A" w14:textId="77777777" w:rsidR="00EF4AE6" w:rsidRDefault="00EF4AE6" w:rsidP="005A04A9">
            <w:pPr>
              <w:rPr>
                <w:b/>
              </w:rPr>
            </w:pPr>
            <m:oMathPara>
              <m:oMath>
                <m:r>
                  <w:rPr>
                    <w:rFonts w:ascii="Cambria Math" w:hAnsi="Cambria Math" w:hint="eastAsia"/>
                    <w:sz w:val="22"/>
                    <w:szCs w:val="22"/>
                  </w:rPr>
                  <m:t>ϕ</m:t>
                </m:r>
              </m:oMath>
            </m:oMathPara>
          </w:p>
        </w:tc>
        <w:tc>
          <w:tcPr>
            <w:tcW w:w="5271" w:type="dxa"/>
            <w:vAlign w:val="center"/>
          </w:tcPr>
          <w:p w14:paraId="2279AEC3" w14:textId="77777777" w:rsidR="00EF4AE6" w:rsidRDefault="00EF4AE6" w:rsidP="005A04A9">
            <w:pPr>
              <w:rPr>
                <w:b/>
              </w:rPr>
            </w:pPr>
            <w:r w:rsidRPr="00F3098E">
              <w:rPr>
                <w:rFonts w:ascii="Helvetica" w:hAnsi="Helvetica"/>
                <w:sz w:val="22"/>
                <w:szCs w:val="22"/>
              </w:rPr>
              <w:t>coefficient of variance</w:t>
            </w:r>
            <w:r>
              <w:rPr>
                <w:rFonts w:ascii="Helvetica" w:hAnsi="Helvetica"/>
                <w:sz w:val="22"/>
                <w:szCs w:val="22"/>
              </w:rPr>
              <w:t xml:space="preserve"> in monitoring </w:t>
            </w:r>
          </w:p>
        </w:tc>
      </w:tr>
      <w:tr w:rsidR="00EF4AE6" w14:paraId="58AA9AFF" w14:textId="77777777" w:rsidTr="005A04A9">
        <w:trPr>
          <w:trHeight w:val="530"/>
        </w:trPr>
        <w:tc>
          <w:tcPr>
            <w:tcW w:w="1621" w:type="dxa"/>
            <w:vAlign w:val="center"/>
          </w:tcPr>
          <w:p w14:paraId="6EAB48F2" w14:textId="77777777" w:rsidR="00EF4AE6" w:rsidRDefault="00FB21C6" w:rsidP="005A04A9">
            <w:pPr>
              <w:rPr>
                <w:b/>
              </w:rPr>
            </w:pPr>
            <m:oMathPara>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m:oMathPara>
          </w:p>
        </w:tc>
        <w:tc>
          <w:tcPr>
            <w:tcW w:w="5271" w:type="dxa"/>
            <w:vAlign w:val="center"/>
          </w:tcPr>
          <w:p w14:paraId="3C1A5138" w14:textId="77777777" w:rsidR="00EF4AE6" w:rsidRDefault="00EF4AE6" w:rsidP="005A04A9">
            <w:pPr>
              <w:rPr>
                <w:b/>
              </w:rPr>
            </w:pPr>
            <w:r w:rsidRPr="00957F1F">
              <w:rPr>
                <w:rFonts w:ascii="Helvetica" w:hAnsi="Helvetica"/>
                <w:sz w:val="22"/>
                <w:szCs w:val="22"/>
              </w:rPr>
              <w:t>resource at maximum sustainable yield</w:t>
            </w:r>
          </w:p>
        </w:tc>
      </w:tr>
      <w:tr w:rsidR="00EF4AE6" w14:paraId="6A989FB8" w14:textId="77777777" w:rsidTr="005A04A9">
        <w:trPr>
          <w:trHeight w:val="530"/>
        </w:trPr>
        <w:tc>
          <w:tcPr>
            <w:tcW w:w="1621" w:type="dxa"/>
            <w:vAlign w:val="center"/>
          </w:tcPr>
          <w:p w14:paraId="240917AF" w14:textId="77777777" w:rsidR="00EF4AE6" w:rsidRDefault="00FB21C6" w:rsidP="005A04A9">
            <w:pPr>
              <w:rPr>
                <w:b/>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m:oMathPara>
          </w:p>
        </w:tc>
        <w:tc>
          <w:tcPr>
            <w:tcW w:w="5271" w:type="dxa"/>
            <w:vAlign w:val="center"/>
          </w:tcPr>
          <w:p w14:paraId="0BDE4F65" w14:textId="77777777" w:rsidR="00EF4AE6" w:rsidRDefault="00EF4AE6" w:rsidP="005A04A9">
            <w:pPr>
              <w:rPr>
                <w:b/>
              </w:rPr>
            </w:pPr>
            <w:r w:rsidRPr="00957F1F">
              <w:rPr>
                <w:rFonts w:ascii="Helvetica" w:hAnsi="Helvetica"/>
                <w:sz w:val="22"/>
                <w:szCs w:val="22"/>
              </w:rPr>
              <w:t xml:space="preserve">maximum harvest </w:t>
            </w:r>
            <w:r>
              <w:rPr>
                <w:rFonts w:ascii="Helvetica" w:hAnsi="Helvetica"/>
                <w:sz w:val="22"/>
                <w:szCs w:val="22"/>
              </w:rPr>
              <w:t xml:space="preserve">mortality </w:t>
            </w:r>
            <w:r w:rsidRPr="00957F1F">
              <w:rPr>
                <w:rFonts w:ascii="Helvetica" w:hAnsi="Helvetica"/>
                <w:sz w:val="22"/>
                <w:szCs w:val="22"/>
              </w:rPr>
              <w:t>rate</w:t>
            </w:r>
          </w:p>
        </w:tc>
      </w:tr>
      <w:tr w:rsidR="00EF4AE6" w14:paraId="097CCEA0" w14:textId="77777777" w:rsidTr="005A04A9">
        <w:trPr>
          <w:trHeight w:val="542"/>
        </w:trPr>
        <w:tc>
          <w:tcPr>
            <w:tcW w:w="1621" w:type="dxa"/>
            <w:vAlign w:val="center"/>
          </w:tcPr>
          <w:p w14:paraId="7C34415D" w14:textId="77777777" w:rsidR="00EF4AE6" w:rsidRDefault="00FB21C6" w:rsidP="005A04A9">
            <w:pPr>
              <w:rPr>
                <w:b/>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m:oMathPara>
          </w:p>
        </w:tc>
        <w:tc>
          <w:tcPr>
            <w:tcW w:w="5271" w:type="dxa"/>
            <w:vAlign w:val="center"/>
          </w:tcPr>
          <w:p w14:paraId="7BBC7FB9" w14:textId="77777777" w:rsidR="00EF4AE6" w:rsidRDefault="00EF4AE6" w:rsidP="005A04A9">
            <w:pPr>
              <w:rPr>
                <w:b/>
              </w:rPr>
            </w:pPr>
            <w:r w:rsidRPr="00957F1F">
              <w:rPr>
                <w:rFonts w:ascii="Helvetica" w:hAnsi="Helvetica"/>
                <w:sz w:val="22"/>
                <w:szCs w:val="22"/>
              </w:rPr>
              <w:t>Value</w:t>
            </w:r>
            <w:r>
              <w:rPr>
                <w:rFonts w:ascii="Helvetica" w:hAnsi="Helvetica"/>
                <w:sz w:val="22"/>
                <w:szCs w:val="22"/>
              </w:rPr>
              <w:t xml:space="preserve"> </w:t>
            </w:r>
            <w:r w:rsidRPr="00957F1F">
              <w:rPr>
                <w:rFonts w:ascii="Helvetica" w:hAnsi="Helvetica"/>
                <w:sz w:val="22"/>
                <w:szCs w:val="22"/>
              </w:rPr>
              <w:t xml:space="preserve">of the </w:t>
            </w:r>
            <w:r>
              <w:rPr>
                <w:rFonts w:ascii="Helvetica" w:hAnsi="Helvetica"/>
                <w:sz w:val="22"/>
                <w:szCs w:val="22"/>
              </w:rPr>
              <w:t>resource extracted</w:t>
            </w:r>
            <w:r w:rsidRPr="00957F1F">
              <w:rPr>
                <w:rFonts w:ascii="Helvetica" w:hAnsi="Helvetica"/>
                <w:sz w:val="22"/>
                <w:szCs w:val="22"/>
              </w:rPr>
              <w:t xml:space="preserve"> at time t</w:t>
            </w:r>
          </w:p>
        </w:tc>
      </w:tr>
      <w:tr w:rsidR="00EF4AE6" w14:paraId="37C7563C" w14:textId="77777777" w:rsidTr="005A04A9">
        <w:trPr>
          <w:trHeight w:val="530"/>
        </w:trPr>
        <w:tc>
          <w:tcPr>
            <w:tcW w:w="1621" w:type="dxa"/>
            <w:vAlign w:val="center"/>
          </w:tcPr>
          <w:p w14:paraId="140F91B1" w14:textId="6F26A854" w:rsidR="00EF4AE6" w:rsidRDefault="00C0661B" w:rsidP="005A04A9">
            <w:pPr>
              <w:rPr>
                <w:rFonts w:ascii="Calibri" w:eastAsia="Calibri" w:hAnsi="Calibri" w:cs="Times New Roman"/>
                <w:sz w:val="22"/>
                <w:szCs w:val="22"/>
              </w:rPr>
            </w:pPr>
            <m:oMathPara>
              <m:oMath>
                <m:r>
                  <w:rPr>
                    <w:rFonts w:ascii="Cambria Math" w:hAnsi="Cambria Math"/>
                    <w:sz w:val="22"/>
                    <w:szCs w:val="22"/>
                  </w:rPr>
                  <m:t>φ</m:t>
                </m:r>
              </m:oMath>
            </m:oMathPara>
          </w:p>
        </w:tc>
        <w:tc>
          <w:tcPr>
            <w:tcW w:w="5271" w:type="dxa"/>
            <w:vAlign w:val="center"/>
          </w:tcPr>
          <w:p w14:paraId="3454E44E" w14:textId="77777777" w:rsidR="00EF4AE6" w:rsidRDefault="00EF4AE6" w:rsidP="005A04A9">
            <w:pPr>
              <w:rPr>
                <w:rFonts w:ascii="Helvetica" w:hAnsi="Helvetica"/>
                <w:sz w:val="22"/>
                <w:szCs w:val="22"/>
              </w:rPr>
            </w:pPr>
            <w:r w:rsidRPr="00E82420">
              <w:rPr>
                <w:rFonts w:ascii="Helvetica" w:hAnsi="Helvetica"/>
                <w:sz w:val="22"/>
                <w:szCs w:val="22"/>
              </w:rPr>
              <w:t>price of the yielded resource</w:t>
            </w:r>
          </w:p>
        </w:tc>
      </w:tr>
      <w:tr w:rsidR="00EF4AE6" w14:paraId="0C230510" w14:textId="77777777" w:rsidTr="005A04A9">
        <w:trPr>
          <w:trHeight w:val="530"/>
        </w:trPr>
        <w:tc>
          <w:tcPr>
            <w:tcW w:w="1621" w:type="dxa"/>
            <w:vAlign w:val="center"/>
          </w:tcPr>
          <w:p w14:paraId="754403BA" w14:textId="77777777" w:rsidR="00EF4AE6" w:rsidRDefault="00FB21C6" w:rsidP="005A04A9">
            <w:pPr>
              <w:rPr>
                <w:b/>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m:oMathPara>
          </w:p>
        </w:tc>
        <w:tc>
          <w:tcPr>
            <w:tcW w:w="5271" w:type="dxa"/>
            <w:vAlign w:val="center"/>
          </w:tcPr>
          <w:p w14:paraId="4D4FDECC" w14:textId="77777777" w:rsidR="00EF4AE6" w:rsidRDefault="00EF4AE6" w:rsidP="005A04A9">
            <w:pPr>
              <w:rPr>
                <w:b/>
              </w:rPr>
            </w:pPr>
            <w:r>
              <w:rPr>
                <w:rFonts w:ascii="Helvetica" w:hAnsi="Helvetica"/>
                <w:sz w:val="22"/>
                <w:szCs w:val="22"/>
              </w:rPr>
              <w:t xml:space="preserve">per unit </w:t>
            </w:r>
            <w:r w:rsidRPr="00957F1F">
              <w:rPr>
                <w:rFonts w:ascii="Helvetica" w:hAnsi="Helvetica"/>
                <w:sz w:val="22"/>
                <w:szCs w:val="22"/>
              </w:rPr>
              <w:t>cost of extracting that resource</w:t>
            </w:r>
          </w:p>
        </w:tc>
      </w:tr>
      <w:tr w:rsidR="00EF4AE6" w14:paraId="70E58A78" w14:textId="77777777" w:rsidTr="005A04A9">
        <w:trPr>
          <w:trHeight w:val="789"/>
        </w:trPr>
        <w:tc>
          <w:tcPr>
            <w:tcW w:w="1621" w:type="dxa"/>
            <w:vAlign w:val="center"/>
          </w:tcPr>
          <w:p w14:paraId="3685FF32"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NPV</m:t>
                </m:r>
              </m:oMath>
            </m:oMathPara>
          </w:p>
        </w:tc>
        <w:tc>
          <w:tcPr>
            <w:tcW w:w="5271" w:type="dxa"/>
            <w:vAlign w:val="center"/>
          </w:tcPr>
          <w:p w14:paraId="4D9BE679" w14:textId="77777777" w:rsidR="00EF4AE6" w:rsidRDefault="00EF4AE6" w:rsidP="005A04A9">
            <w:pPr>
              <w:rPr>
                <w:rFonts w:ascii="Helvetica" w:hAnsi="Helvetica"/>
                <w:sz w:val="22"/>
                <w:szCs w:val="22"/>
              </w:rPr>
            </w:pPr>
            <w:r w:rsidRPr="00957F1F">
              <w:rPr>
                <w:rFonts w:ascii="Helvetica" w:hAnsi="Helvetica"/>
                <w:sz w:val="22"/>
                <w:szCs w:val="22"/>
              </w:rPr>
              <w:t>Net Present Value of the resource for the full duration of the simulation</w:t>
            </w:r>
          </w:p>
        </w:tc>
      </w:tr>
      <w:tr w:rsidR="00EF4AE6" w14:paraId="1F25FE48" w14:textId="77777777" w:rsidTr="005A04A9">
        <w:trPr>
          <w:trHeight w:val="259"/>
        </w:trPr>
        <w:tc>
          <w:tcPr>
            <w:tcW w:w="1621" w:type="dxa"/>
            <w:vAlign w:val="center"/>
          </w:tcPr>
          <w:p w14:paraId="30FE079E"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d</m:t>
                </m:r>
              </m:oMath>
            </m:oMathPara>
          </w:p>
        </w:tc>
        <w:tc>
          <w:tcPr>
            <w:tcW w:w="5271" w:type="dxa"/>
            <w:vAlign w:val="center"/>
          </w:tcPr>
          <w:p w14:paraId="1C771324" w14:textId="77777777" w:rsidR="00EF4AE6" w:rsidRDefault="00EF4AE6" w:rsidP="005A04A9">
            <w:pPr>
              <w:rPr>
                <w:rFonts w:ascii="Helvetica" w:hAnsi="Helvetica"/>
                <w:sz w:val="22"/>
                <w:szCs w:val="22"/>
              </w:rPr>
            </w:pPr>
            <w:r w:rsidRPr="00957F1F">
              <w:rPr>
                <w:rFonts w:ascii="Helvetica" w:hAnsi="Helvetica"/>
                <w:sz w:val="22"/>
                <w:szCs w:val="22"/>
              </w:rPr>
              <w:t>discount coefficient</w:t>
            </w:r>
          </w:p>
        </w:tc>
      </w:tr>
      <w:tr w:rsidR="00EF4AE6" w14:paraId="338AD5ED" w14:textId="77777777" w:rsidTr="005A04A9">
        <w:trPr>
          <w:trHeight w:val="530"/>
        </w:trPr>
        <w:tc>
          <w:tcPr>
            <w:tcW w:w="1621" w:type="dxa"/>
            <w:vAlign w:val="center"/>
          </w:tcPr>
          <w:p w14:paraId="0F98DE76" w14:textId="77777777" w:rsidR="00EF4AE6" w:rsidRDefault="00EF4AE6" w:rsidP="005A04A9">
            <w:pPr>
              <w:rPr>
                <w:rFonts w:ascii="Calibri" w:eastAsia="Calibri" w:hAnsi="Calibri" w:cs="Times New Roman"/>
                <w:sz w:val="22"/>
                <w:szCs w:val="22"/>
              </w:rPr>
            </w:pPr>
            <m:oMathPara>
              <m:oMath>
                <m:r>
                  <w:rPr>
                    <w:rFonts w:ascii="Cambria Math" w:hAnsi="Cambria Math"/>
                    <w:sz w:val="22"/>
                    <w:szCs w:val="22"/>
                  </w:rPr>
                  <m:t>δ</m:t>
                </m:r>
              </m:oMath>
            </m:oMathPara>
          </w:p>
        </w:tc>
        <w:tc>
          <w:tcPr>
            <w:tcW w:w="5271" w:type="dxa"/>
            <w:vAlign w:val="center"/>
          </w:tcPr>
          <w:p w14:paraId="769B0139" w14:textId="77777777" w:rsidR="00EF4AE6" w:rsidRPr="00957F1F" w:rsidRDefault="00EF4AE6" w:rsidP="005A04A9">
            <w:pPr>
              <w:rPr>
                <w:rFonts w:ascii="Helvetica" w:hAnsi="Helvetica"/>
                <w:sz w:val="22"/>
                <w:szCs w:val="22"/>
              </w:rPr>
            </w:pPr>
            <w:r>
              <w:rPr>
                <w:rFonts w:ascii="Helvetica" w:hAnsi="Helvetica"/>
                <w:sz w:val="22"/>
                <w:szCs w:val="22"/>
              </w:rPr>
              <w:t>slope of the discount rate through time</w:t>
            </w:r>
          </w:p>
        </w:tc>
      </w:tr>
      <w:tr w:rsidR="00EF4AE6" w14:paraId="44D80487" w14:textId="77777777" w:rsidTr="005A04A9">
        <w:trPr>
          <w:trHeight w:val="270"/>
        </w:trPr>
        <w:tc>
          <w:tcPr>
            <w:tcW w:w="1621" w:type="dxa"/>
            <w:vAlign w:val="center"/>
          </w:tcPr>
          <w:p w14:paraId="703DC66D" w14:textId="77777777" w:rsidR="00EF4AE6" w:rsidRDefault="00FB21C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m:oMathPara>
          </w:p>
        </w:tc>
        <w:tc>
          <w:tcPr>
            <w:tcW w:w="5271" w:type="dxa"/>
            <w:vAlign w:val="center"/>
          </w:tcPr>
          <w:p w14:paraId="0CF241EE" w14:textId="77777777" w:rsidR="00EF4AE6" w:rsidRDefault="00EF4AE6" w:rsidP="005A04A9">
            <w:pPr>
              <w:rPr>
                <w:rFonts w:ascii="Helvetica" w:hAnsi="Helvetica"/>
                <w:sz w:val="22"/>
                <w:szCs w:val="22"/>
              </w:rPr>
            </w:pPr>
            <w:r>
              <w:rPr>
                <w:rFonts w:ascii="Helvetica" w:hAnsi="Helvetica"/>
                <w:sz w:val="22"/>
                <w:szCs w:val="22"/>
              </w:rPr>
              <w:t>c</w:t>
            </w:r>
            <w:r w:rsidRPr="00957F1F">
              <w:rPr>
                <w:rFonts w:ascii="Helvetica" w:hAnsi="Helvetica"/>
                <w:sz w:val="22"/>
                <w:szCs w:val="22"/>
              </w:rPr>
              <w:t>ost of monitoring</w:t>
            </w:r>
          </w:p>
        </w:tc>
      </w:tr>
      <w:tr w:rsidR="00EF4AE6" w14:paraId="2468BC3E" w14:textId="77777777" w:rsidTr="005A04A9">
        <w:trPr>
          <w:trHeight w:val="259"/>
        </w:trPr>
        <w:tc>
          <w:tcPr>
            <w:tcW w:w="1621" w:type="dxa"/>
            <w:vAlign w:val="center"/>
          </w:tcPr>
          <w:p w14:paraId="2E328A4F" w14:textId="77777777" w:rsidR="00EF4AE6" w:rsidRDefault="00FB21C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m:oMathPara>
          </w:p>
        </w:tc>
        <w:tc>
          <w:tcPr>
            <w:tcW w:w="5271" w:type="dxa"/>
            <w:vAlign w:val="center"/>
          </w:tcPr>
          <w:p w14:paraId="63F0B550" w14:textId="77777777" w:rsidR="00EF4AE6" w:rsidRDefault="00EF4AE6" w:rsidP="005A04A9">
            <w:pPr>
              <w:rPr>
                <w:rFonts w:ascii="Helvetica" w:hAnsi="Helvetica"/>
                <w:sz w:val="22"/>
                <w:szCs w:val="22"/>
              </w:rPr>
            </w:pPr>
            <w:r>
              <w:rPr>
                <w:rFonts w:ascii="Helvetica" w:hAnsi="Helvetica"/>
                <w:sz w:val="22"/>
                <w:szCs w:val="22"/>
              </w:rPr>
              <w:t>intercept of the cost function</w:t>
            </w:r>
          </w:p>
        </w:tc>
      </w:tr>
      <w:tr w:rsidR="00EF4AE6" w14:paraId="09DD9D75" w14:textId="77777777" w:rsidTr="005A04A9">
        <w:trPr>
          <w:trHeight w:val="270"/>
        </w:trPr>
        <w:tc>
          <w:tcPr>
            <w:tcW w:w="1621" w:type="dxa"/>
            <w:vAlign w:val="center"/>
          </w:tcPr>
          <w:p w14:paraId="610A6BDD" w14:textId="77777777" w:rsidR="00EF4AE6" w:rsidRDefault="00FB21C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m:oMathPara>
          </w:p>
        </w:tc>
        <w:tc>
          <w:tcPr>
            <w:tcW w:w="5271" w:type="dxa"/>
            <w:vAlign w:val="center"/>
          </w:tcPr>
          <w:p w14:paraId="67D8F937" w14:textId="77777777" w:rsidR="00EF4AE6" w:rsidRDefault="00EF4AE6" w:rsidP="005A04A9">
            <w:pPr>
              <w:rPr>
                <w:rFonts w:ascii="Helvetica" w:hAnsi="Helvetica"/>
                <w:sz w:val="22"/>
                <w:szCs w:val="22"/>
              </w:rPr>
            </w:pPr>
            <w:r>
              <w:rPr>
                <w:rFonts w:ascii="Helvetica" w:hAnsi="Helvetica"/>
                <w:sz w:val="22"/>
                <w:szCs w:val="22"/>
              </w:rPr>
              <w:t>slope of the cost function</w:t>
            </w:r>
          </w:p>
        </w:tc>
      </w:tr>
      <w:tr w:rsidR="00EF4AE6" w14:paraId="62C898B7" w14:textId="77777777" w:rsidTr="005A04A9">
        <w:trPr>
          <w:trHeight w:val="259"/>
        </w:trPr>
        <w:tc>
          <w:tcPr>
            <w:tcW w:w="1621" w:type="dxa"/>
            <w:vAlign w:val="center"/>
          </w:tcPr>
          <w:p w14:paraId="15EE4941" w14:textId="77777777" w:rsidR="00EF4AE6" w:rsidRDefault="00FB21C6" w:rsidP="005A04A9">
            <w:pPr>
              <w:rPr>
                <w:rFonts w:ascii="Calibri" w:eastAsia="Calibri" w:hAnsi="Calibri" w:cs="Times New Roman"/>
                <w:sz w:val="22"/>
                <w:szCs w:val="22"/>
              </w:rPr>
            </w:pPr>
            <m:oMathPara>
              <m:oMath>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m:oMathPara>
          </w:p>
        </w:tc>
        <w:tc>
          <w:tcPr>
            <w:tcW w:w="5271" w:type="dxa"/>
            <w:vAlign w:val="center"/>
          </w:tcPr>
          <w:p w14:paraId="717CFB7B" w14:textId="77777777" w:rsidR="00EF4AE6" w:rsidRDefault="00EF4AE6" w:rsidP="005A04A9">
            <w:pPr>
              <w:rPr>
                <w:rFonts w:ascii="Helvetica" w:hAnsi="Helvetica"/>
                <w:sz w:val="22"/>
                <w:szCs w:val="22"/>
              </w:rPr>
            </w:pPr>
            <w:r>
              <w:rPr>
                <w:rFonts w:ascii="Helvetica" w:hAnsi="Helvetica"/>
                <w:sz w:val="22"/>
                <w:szCs w:val="22"/>
              </w:rPr>
              <w:t xml:space="preserve">Coefficient of variation </w:t>
            </w:r>
            <w:r w:rsidRPr="00957F1F">
              <w:rPr>
                <w:rFonts w:ascii="Helvetica" w:hAnsi="Helvetica"/>
                <w:sz w:val="22"/>
                <w:szCs w:val="22"/>
              </w:rPr>
              <w:t xml:space="preserve">of monitoring at time </w:t>
            </w:r>
            <w:r w:rsidRPr="00957F1F">
              <w:rPr>
                <w:rFonts w:ascii="Helvetica" w:hAnsi="Helvetica"/>
                <w:i/>
                <w:sz w:val="22"/>
                <w:szCs w:val="22"/>
              </w:rPr>
              <w:t>t</w:t>
            </w:r>
          </w:p>
        </w:tc>
      </w:tr>
    </w:tbl>
    <w:p w14:paraId="44978836" w14:textId="77777777" w:rsidR="00EF4AE6" w:rsidRDefault="00EF4AE6" w:rsidP="00EF4AE6"/>
    <w:p w14:paraId="04515065" w14:textId="77777777" w:rsidR="00EF4AE6" w:rsidRDefault="00EF4AE6" w:rsidP="00EF4AE6"/>
    <w:p w14:paraId="0F7CCB8C" w14:textId="73F68F49" w:rsidR="000420D6" w:rsidRDefault="000420D6">
      <w:r>
        <w:br w:type="page"/>
      </w:r>
    </w:p>
    <w:p w14:paraId="4498AE0E" w14:textId="77777777" w:rsidR="000420D6" w:rsidRDefault="000420D6" w:rsidP="000420D6">
      <w:pPr>
        <w:rPr>
          <w:b/>
        </w:rPr>
      </w:pPr>
      <w:r>
        <w:rPr>
          <w:b/>
        </w:rPr>
        <w:lastRenderedPageBreak/>
        <w:t>ELECTRONIC SUPPLEMENTARY INFORMATION</w:t>
      </w:r>
    </w:p>
    <w:p w14:paraId="305A360A" w14:textId="5F81E245" w:rsidR="000420D6" w:rsidRDefault="000420D6" w:rsidP="000420D6">
      <w:pPr>
        <w:rPr>
          <w:b/>
        </w:rPr>
      </w:pPr>
      <w:r>
        <w:rPr>
          <w:b/>
        </w:rPr>
        <w:t>3. Sensitivity of results to the strength of the critical biological threshold (</w:t>
      </w:r>
      <w:r w:rsidRPr="000420D6">
        <w:rPr>
          <w:b/>
          <w:i/>
          <w:iCs/>
        </w:rPr>
        <w:t>A</w:t>
      </w:r>
      <w:r>
        <w:rPr>
          <w:b/>
        </w:rPr>
        <w:t>)</w:t>
      </w:r>
    </w:p>
    <w:p w14:paraId="14D24F08" w14:textId="77777777" w:rsidR="006725D4" w:rsidRDefault="006725D4" w:rsidP="000420D6">
      <w:pPr>
        <w:rPr>
          <w:b/>
        </w:rPr>
      </w:pPr>
    </w:p>
    <w:p w14:paraId="0FD7E724" w14:textId="77777777" w:rsidR="000420D6" w:rsidRDefault="000420D6" w:rsidP="000420D6">
      <w:r>
        <w:t xml:space="preserve">Figure S3 – The role of tipping point strength in driving three response variables: The probability of tipping (A), the Net Present Value (B), and the number of population rescues. Results are from a simulation run for 2000 iterations for 50-year time series starting at </w:t>
      </w:r>
      <w:proofErr w:type="spellStart"/>
      <w:r w:rsidRPr="005A3988">
        <w:rPr>
          <w:i/>
          <w:iCs/>
        </w:rPr>
        <w:t>B</w:t>
      </w:r>
      <w:r w:rsidRPr="005A3988">
        <w:rPr>
          <w:i/>
          <w:iCs/>
          <w:vertAlign w:val="subscript"/>
        </w:rPr>
        <w:t>msy</w:t>
      </w:r>
      <w:proofErr w:type="spellEnd"/>
      <w:r>
        <w:t>, and with a harvest rate of 1</w:t>
      </w:r>
      <w:r w:rsidRPr="005A3988">
        <w:rPr>
          <w:i/>
          <w:iCs/>
        </w:rPr>
        <w:t>pH</w:t>
      </w:r>
      <w:r w:rsidRPr="005A3988">
        <w:rPr>
          <w:i/>
          <w:iCs/>
          <w:vertAlign w:val="subscript"/>
        </w:rPr>
        <w:t>msy</w:t>
      </w:r>
      <w:r>
        <w:t xml:space="preserve"> for three values of the critical threshold </w:t>
      </w:r>
      <w:r w:rsidRPr="00A01F49">
        <w:rPr>
          <w:i/>
          <w:iCs/>
        </w:rPr>
        <w:t>A</w:t>
      </w:r>
      <w:r>
        <w:t xml:space="preserve"> (10- left, 20- middle, and 30- right columns), where higher</w:t>
      </w:r>
      <w:r w:rsidRPr="00A01F49">
        <w:rPr>
          <w:i/>
          <w:iCs/>
        </w:rPr>
        <w:t xml:space="preserve"> A</w:t>
      </w:r>
      <w:r>
        <w:t xml:space="preserve"> values produce depensation at a higher threshold (see ESM1 for visualization of different </w:t>
      </w:r>
      <w:r w:rsidRPr="00A01F49">
        <w:rPr>
          <w:i/>
          <w:iCs/>
        </w:rPr>
        <w:t>A</w:t>
      </w:r>
      <w:r>
        <w:t xml:space="preserve"> values) </w:t>
      </w:r>
    </w:p>
    <w:p w14:paraId="68CB0AD2" w14:textId="77777777" w:rsidR="000420D6" w:rsidRDefault="000420D6" w:rsidP="000420D6"/>
    <w:p w14:paraId="506B03B6" w14:textId="77777777" w:rsidR="000420D6" w:rsidRDefault="000420D6" w:rsidP="000420D6"/>
    <w:p w14:paraId="347A4CC3" w14:textId="30AC1136" w:rsidR="006A39B4" w:rsidRDefault="000420D6" w:rsidP="000420D6">
      <w:r>
        <w:rPr>
          <w:noProof/>
        </w:rPr>
        <w:drawing>
          <wp:inline distT="0" distB="0" distL="0" distR="0" wp14:anchorId="52DFA10B" wp14:editId="6831F26B">
            <wp:extent cx="5281224" cy="616142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283822" cy="6164459"/>
                    </a:xfrm>
                    <a:prstGeom prst="rect">
                      <a:avLst/>
                    </a:prstGeom>
                  </pic:spPr>
                </pic:pic>
              </a:graphicData>
            </a:graphic>
          </wp:inline>
        </w:drawing>
      </w:r>
    </w:p>
    <w:p w14:paraId="6DE79D71" w14:textId="77777777" w:rsidR="003D7EFF" w:rsidRDefault="003D7EFF" w:rsidP="003D7EFF">
      <w:pPr>
        <w:rPr>
          <w:b/>
        </w:rPr>
      </w:pPr>
      <w:r>
        <w:rPr>
          <w:b/>
        </w:rPr>
        <w:lastRenderedPageBreak/>
        <w:t>ELECTRONIC SUPPLEMENTARY INFORMATION</w:t>
      </w:r>
    </w:p>
    <w:p w14:paraId="698FF6D4" w14:textId="15AAE642" w:rsidR="003D7EFF" w:rsidRDefault="003D7EFF" w:rsidP="003D7EFF">
      <w:pPr>
        <w:rPr>
          <w:b/>
        </w:rPr>
      </w:pPr>
      <w:r>
        <w:rPr>
          <w:b/>
        </w:rPr>
        <w:t>4. Sensitivity of model results to environmental stochasticity</w:t>
      </w:r>
    </w:p>
    <w:p w14:paraId="58504200" w14:textId="77777777" w:rsidR="00FF5F69" w:rsidRDefault="00FF5F69" w:rsidP="003D7EFF">
      <w:pPr>
        <w:rPr>
          <w:b/>
        </w:rPr>
      </w:pPr>
    </w:p>
    <w:p w14:paraId="52FD09BE" w14:textId="77777777" w:rsidR="003D7EFF" w:rsidRPr="00357E85" w:rsidRDefault="003D7EFF" w:rsidP="003D7EFF">
      <w:r>
        <w:t>Figure S</w:t>
      </w:r>
      <w:r w:rsidRPr="00357E85">
        <w:t>4</w:t>
      </w:r>
      <w:r>
        <w:t xml:space="preserve"> -</w:t>
      </w:r>
      <w:r w:rsidRPr="00357E85">
        <w:t xml:space="preserve"> The role of stochasticity in population growth rate in driving the </w:t>
      </w:r>
      <w:r>
        <w:t>Net Present Value (NPV) (A), probability of crossing a tipping point (B), and the probability of crossing a limit reference point (C). Measurement uncertainty (increases in y axis) or process noise (increases in x axis) can decrease the NPV of a given population and increase the probability of crossing a tipping point (B) or a limit reference point (C).</w:t>
      </w:r>
    </w:p>
    <w:p w14:paraId="506B98FC" w14:textId="77777777" w:rsidR="003D7EFF" w:rsidRDefault="003D7EFF" w:rsidP="003D7EFF"/>
    <w:p w14:paraId="4AD8E904" w14:textId="77777777" w:rsidR="003D7EFF" w:rsidRDefault="003D7EFF" w:rsidP="003D7EFF">
      <w:r>
        <w:rPr>
          <w:noProof/>
        </w:rPr>
        <w:drawing>
          <wp:inline distT="0" distB="0" distL="0" distR="0" wp14:anchorId="7E7026C0" wp14:editId="2F8B8DF6">
            <wp:extent cx="3673736" cy="612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cess_noise_cv_original_MSE_3_20_19.pdf"/>
                    <pic:cNvPicPr/>
                  </pic:nvPicPr>
                  <pic:blipFill>
                    <a:blip r:embed="rId6">
                      <a:extLst>
                        <a:ext uri="{28A0092B-C50C-407E-A947-70E740481C1C}">
                          <a14:useLocalDpi xmlns:a14="http://schemas.microsoft.com/office/drawing/2010/main" val="0"/>
                        </a:ext>
                      </a:extLst>
                    </a:blip>
                    <a:stretch>
                      <a:fillRect/>
                    </a:stretch>
                  </pic:blipFill>
                  <pic:spPr>
                    <a:xfrm>
                      <a:off x="0" y="0"/>
                      <a:ext cx="3680911" cy="6134852"/>
                    </a:xfrm>
                    <a:prstGeom prst="rect">
                      <a:avLst/>
                    </a:prstGeom>
                  </pic:spPr>
                </pic:pic>
              </a:graphicData>
            </a:graphic>
          </wp:inline>
        </w:drawing>
      </w:r>
    </w:p>
    <w:p w14:paraId="541CFF36" w14:textId="387C6E59" w:rsidR="006A39B4" w:rsidRDefault="006A39B4"/>
    <w:p w14:paraId="54E3DCC1" w14:textId="77777777" w:rsidR="00664D99" w:rsidRDefault="00664D99"/>
    <w:sectPr w:rsidR="00664D99" w:rsidSect="00C0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87"/>
    <w:rsid w:val="000420D6"/>
    <w:rsid w:val="002F1EB4"/>
    <w:rsid w:val="00343702"/>
    <w:rsid w:val="00391121"/>
    <w:rsid w:val="003D7EFF"/>
    <w:rsid w:val="00664D99"/>
    <w:rsid w:val="006725D4"/>
    <w:rsid w:val="00686F14"/>
    <w:rsid w:val="006A39B4"/>
    <w:rsid w:val="0075449B"/>
    <w:rsid w:val="007D20BF"/>
    <w:rsid w:val="009157E2"/>
    <w:rsid w:val="00C0661B"/>
    <w:rsid w:val="00C31B87"/>
    <w:rsid w:val="00CE1720"/>
    <w:rsid w:val="00D6027F"/>
    <w:rsid w:val="00EF4AE6"/>
    <w:rsid w:val="00FB21C6"/>
    <w:rsid w:val="00FF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706D1"/>
  <w15:chartTrackingRefBased/>
  <w15:docId w15:val="{A5F74793-CDC6-5043-8FA7-66724417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B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4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2</cp:revision>
  <cp:lastPrinted>2021-03-15T23:06:00Z</cp:lastPrinted>
  <dcterms:created xsi:type="dcterms:W3CDTF">2021-03-15T23:07:00Z</dcterms:created>
  <dcterms:modified xsi:type="dcterms:W3CDTF">2021-03-15T23:07:00Z</dcterms:modified>
</cp:coreProperties>
</file>