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29DF9A1F"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bookmarkStart w:id="1" w:name="_GoBack"/>
      <w:bookmarkEnd w:id="1"/>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7B85142F"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and management tipping points. </w:t>
      </w:r>
      <w:r w:rsidR="00BB3E78">
        <w:rPr>
          <w:rFonts w:ascii="Helvetica" w:hAnsi="Helvetica" w:cs="Helvetica"/>
          <w:sz w:val="22"/>
          <w:szCs w:val="22"/>
        </w:rPr>
        <w:t>Consequently,</w:t>
      </w:r>
      <w:r w:rsidRPr="00927692">
        <w:rPr>
          <w:rFonts w:ascii="Helvetica" w:hAnsi="Helvetica" w:cs="Helvetica"/>
          <w:sz w:val="22"/>
          <w:szCs w:val="22"/>
        </w:rPr>
        <w:t xml:space="preserve"> including tipping points in decisions surrounding monitoring effort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critical threshold. We show that the former approach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lastRenderedPageBreak/>
        <w:t>INTRODUCTION</w:t>
      </w:r>
    </w:p>
    <w:p w14:paraId="29E172B4" w14:textId="77777777" w:rsidR="00EA4926" w:rsidRPr="00957F1F" w:rsidRDefault="00EA4926" w:rsidP="00EA4926">
      <w:pPr>
        <w:rPr>
          <w:rFonts w:ascii="Helvetica" w:hAnsi="Helvetica"/>
          <w:b/>
          <w:sz w:val="22"/>
          <w:szCs w:val="22"/>
        </w:rPr>
      </w:pPr>
    </w:p>
    <w:p w14:paraId="3A671666" w14:textId="3A07B502" w:rsidR="00DD4ECE" w:rsidRPr="00132B06" w:rsidRDefault="00132B06" w:rsidP="0020694C">
      <w:pPr>
        <w:textAlignment w:val="center"/>
        <w:rPr>
          <w:rFonts w:ascii="Helvetica" w:eastAsia="Times New Roman" w:hAnsi="Helvetica" w:cs="Times New Roman"/>
          <w:sz w:val="22"/>
          <w:szCs w:val="22"/>
          <w:lang w:eastAsia="en-US"/>
        </w:rPr>
      </w:pPr>
      <w:r w:rsidRPr="00132B06">
        <w:rPr>
          <w:rFonts w:ascii="Helvetica" w:eastAsia="Times New Roman" w:hAnsi="Helvetica" w:cs="Times New Roman"/>
          <w:sz w:val="22"/>
          <w:szCs w:val="22"/>
          <w:lang w:eastAsia="en-US"/>
        </w:rPr>
        <w:t>D</w:t>
      </w:r>
      <w:r w:rsidR="00721A27" w:rsidRPr="00132B06">
        <w:rPr>
          <w:rFonts w:ascii="Helvetica" w:eastAsia="Times New Roman" w:hAnsi="Helvetica" w:cs="Times New Roman"/>
          <w:sz w:val="22"/>
          <w:szCs w:val="22"/>
          <w:lang w:eastAsia="en-US"/>
        </w:rPr>
        <w:t>ecision makers</w:t>
      </w:r>
      <w:r w:rsidR="00545708" w:rsidRPr="00132B06">
        <w:rPr>
          <w:rFonts w:ascii="Helvetica" w:eastAsia="Times New Roman" w:hAnsi="Helvetica" w:cs="Times New Roman"/>
          <w:sz w:val="22"/>
          <w:szCs w:val="22"/>
          <w:lang w:eastAsia="en-US"/>
        </w:rPr>
        <w:t xml:space="preserve"> </w:t>
      </w:r>
      <w:r w:rsidRPr="00132B06">
        <w:rPr>
          <w:rFonts w:ascii="Helvetica" w:eastAsia="Times New Roman" w:hAnsi="Helvetica" w:cs="Times New Roman"/>
          <w:sz w:val="22"/>
          <w:szCs w:val="22"/>
          <w:lang w:eastAsia="en-US"/>
        </w:rPr>
        <w:t>seeking to avoid the collapse of financial, medical, or military defense systems often rely on detailed information to calculate high precision estimates a given system’s status</w:t>
      </w:r>
      <w:r w:rsidR="00545708" w:rsidRPr="00132B06">
        <w:rPr>
          <w:rFonts w:ascii="Helvetica" w:eastAsia="Times New Roman" w:hAnsi="Helvetica" w:cs="Times New Roman"/>
          <w:sz w:val="22"/>
          <w:szCs w:val="22"/>
          <w:lang w:eastAsia="en-US"/>
        </w:rPr>
        <w:t>.</w:t>
      </w:r>
      <w:r w:rsidR="00CF1E01" w:rsidRPr="00132B06">
        <w:rPr>
          <w:rFonts w:ascii="Helvetica" w:eastAsia="Times New Roman" w:hAnsi="Helvetica" w:cs="Times New Roman"/>
          <w:sz w:val="22"/>
          <w:szCs w:val="22"/>
          <w:lang w:eastAsia="en-US"/>
        </w:rPr>
        <w:t xml:space="preserve"> </w:t>
      </w:r>
      <w:r w:rsidR="00545708" w:rsidRPr="00132B06">
        <w:rPr>
          <w:rFonts w:ascii="Helvetica" w:eastAsia="Times New Roman" w:hAnsi="Helvetica" w:cs="Times New Roman"/>
          <w:sz w:val="22"/>
          <w:szCs w:val="22"/>
          <w:lang w:eastAsia="en-US"/>
        </w:rPr>
        <w:t xml:space="preserve">However, high precision </w:t>
      </w:r>
      <w:r w:rsidRPr="00132B06">
        <w:rPr>
          <w:rFonts w:ascii="Helvetica" w:eastAsia="Times New Roman" w:hAnsi="Helvetica" w:cs="Times New Roman"/>
          <w:sz w:val="22"/>
          <w:szCs w:val="22"/>
          <w:lang w:eastAsia="en-US"/>
        </w:rPr>
        <w:t xml:space="preserve">status estimates are </w:t>
      </w:r>
      <w:r w:rsidR="00545708" w:rsidRPr="00132B06">
        <w:rPr>
          <w:rFonts w:ascii="Helvetica" w:eastAsia="Times New Roman" w:hAnsi="Helvetica" w:cs="Times New Roman"/>
          <w:sz w:val="22"/>
          <w:szCs w:val="22"/>
          <w:lang w:eastAsia="en-US"/>
        </w:rPr>
        <w:t xml:space="preserve">often costly </w:t>
      </w:r>
      <w:r w:rsidR="00783147" w:rsidRPr="00132B06">
        <w:rPr>
          <w:rFonts w:ascii="Helvetica" w:eastAsia="Times New Roman" w:hAnsi="Helvetica" w:cs="Times New Roman"/>
          <w:sz w:val="22"/>
          <w:szCs w:val="22"/>
          <w:lang w:eastAsia="en-US"/>
        </w:rPr>
        <w:t>and can delay</w:t>
      </w:r>
      <w:r w:rsidR="00CF1E01" w:rsidRPr="00132B06">
        <w:rPr>
          <w:rFonts w:ascii="Helvetica" w:eastAsia="Times New Roman" w:hAnsi="Helvetica" w:cs="Times New Roman"/>
          <w:sz w:val="22"/>
          <w:szCs w:val="22"/>
          <w:lang w:eastAsia="en-US"/>
        </w:rPr>
        <w:t xml:space="preserve"> decision making. </w:t>
      </w:r>
      <w:r w:rsidR="00545708" w:rsidRPr="00132B06">
        <w:rPr>
          <w:rFonts w:ascii="Helvetica" w:eastAsia="Times New Roman" w:hAnsi="Helvetica" w:cs="Times New Roman"/>
          <w:sz w:val="22"/>
          <w:szCs w:val="22"/>
          <w:lang w:eastAsia="en-US"/>
        </w:rPr>
        <w:t xml:space="preserve">The value of high-precision information can therefore be defined by the degree to which acquisition of new information significantly changes a decision </w:t>
      </w:r>
      <w:r w:rsidR="00BB4F66" w:rsidRPr="00132B06">
        <w:rPr>
          <w:rFonts w:ascii="Helvetica" w:eastAsia="Times New Roman" w:hAnsi="Helvetica" w:cs="Times New Roman"/>
          <w:sz w:val="22"/>
          <w:szCs w:val="22"/>
          <w:lang w:eastAsia="en-US"/>
        </w:rPr>
        <w:t>maker’s</w:t>
      </w:r>
      <w:r w:rsidR="00545708" w:rsidRPr="00132B06">
        <w:rPr>
          <w:rFonts w:ascii="Helvetica" w:eastAsia="Times New Roman" w:hAnsi="Helvetica" w:cs="Times New Roman"/>
          <w:sz w:val="22"/>
          <w:szCs w:val="22"/>
          <w:lang w:eastAsia="en-US"/>
        </w:rPr>
        <w:t xml:space="preserve"> current strategy </w:t>
      </w:r>
      <w:r w:rsidRPr="00132B06">
        <w:rPr>
          <w:rFonts w:ascii="Helvetica" w:eastAsia="Times New Roman" w:hAnsi="Helvetica" w:cs="Times New Roman"/>
          <w:sz w:val="22"/>
          <w:szCs w:val="22"/>
          <w:lang w:eastAsia="en-US"/>
        </w:rPr>
        <w:t>to avoid risk</w:t>
      </w:r>
      <w:r w:rsidR="00545708" w:rsidRPr="00132B06">
        <w:rPr>
          <w:rFonts w:ascii="Helvetica" w:eastAsia="Times New Roman" w:hAnsi="Helvetica" w:cs="Times New Roman"/>
          <w:sz w:val="22"/>
          <w:szCs w:val="22"/>
          <w:lang w:eastAsia="en-US"/>
        </w:rPr>
        <w:t xml:space="preserve">. Decision-makers </w:t>
      </w:r>
      <w:r w:rsidR="00BB4F66" w:rsidRPr="00132B06">
        <w:rPr>
          <w:rFonts w:ascii="Helvetica" w:eastAsia="Times New Roman" w:hAnsi="Helvetica" w:cs="Times New Roman"/>
          <w:sz w:val="22"/>
          <w:szCs w:val="22"/>
          <w:lang w:eastAsia="en-US"/>
        </w:rPr>
        <w:t>from financial, medical, and military systems commonly incorporate the value of information when evaluating alternative management strategies, h</w:t>
      </w:r>
      <w:r w:rsidR="00545708" w:rsidRPr="00132B06">
        <w:rPr>
          <w:rFonts w:ascii="Helvetica" w:eastAsia="Times New Roman" w:hAnsi="Helvetica" w:cs="Times New Roman"/>
          <w:sz w:val="22"/>
          <w:szCs w:val="22"/>
          <w:lang w:eastAsia="en-US"/>
        </w:rPr>
        <w:t xml:space="preserve">owever in </w:t>
      </w:r>
      <w:r w:rsidR="0020694C" w:rsidRPr="00132B06">
        <w:rPr>
          <w:rFonts w:ascii="Helvetica" w:eastAsia="Times New Roman" w:hAnsi="Helvetica" w:cs="Times New Roman"/>
          <w:sz w:val="22"/>
          <w:szCs w:val="22"/>
          <w:lang w:eastAsia="en-US"/>
        </w:rPr>
        <w:t>biological systems</w:t>
      </w:r>
      <w:r w:rsidR="00545708" w:rsidRPr="00132B06">
        <w:rPr>
          <w:rFonts w:ascii="Helvetica" w:eastAsia="Times New Roman" w:hAnsi="Helvetica" w:cs="Times New Roman"/>
          <w:sz w:val="22"/>
          <w:szCs w:val="22"/>
          <w:lang w:eastAsia="en-US"/>
        </w:rPr>
        <w:t xml:space="preserve"> the </w:t>
      </w:r>
      <w:r w:rsidR="00BB4F66" w:rsidRPr="00132B06">
        <w:rPr>
          <w:rFonts w:ascii="Helvetica" w:eastAsia="Times New Roman" w:hAnsi="Helvetica" w:cs="Times New Roman"/>
          <w:sz w:val="22"/>
          <w:szCs w:val="22"/>
          <w:lang w:eastAsia="en-US"/>
        </w:rPr>
        <w:t xml:space="preserve">value of information </w:t>
      </w:r>
      <w:r w:rsidR="00545708" w:rsidRPr="00132B06">
        <w:rPr>
          <w:rFonts w:ascii="Helvetica" w:eastAsia="Times New Roman" w:hAnsi="Helvetica" w:cs="Times New Roman"/>
          <w:sz w:val="22"/>
          <w:szCs w:val="22"/>
          <w:lang w:eastAsia="en-US"/>
        </w:rPr>
        <w:t>is often poorly coupled to the degree to which this additional information changes decision mak</w:t>
      </w:r>
      <w:r w:rsidR="00BB4F66" w:rsidRPr="00132B06">
        <w:rPr>
          <w:rFonts w:ascii="Helvetica" w:eastAsia="Times New Roman" w:hAnsi="Helvetica" w:cs="Times New Roman"/>
          <w:sz w:val="22"/>
          <w:szCs w:val="22"/>
          <w:lang w:eastAsia="en-US"/>
        </w:rPr>
        <w:t>er’s capacity to avoid risk.</w:t>
      </w:r>
      <w:r w:rsidR="00CF1E01" w:rsidRPr="00132B06">
        <w:rPr>
          <w:rFonts w:ascii="Helvetica" w:eastAsia="Times New Roman" w:hAnsi="Helvetica" w:cs="Times New Roman"/>
          <w:sz w:val="22"/>
          <w:szCs w:val="22"/>
          <w:lang w:eastAsia="en-US"/>
        </w:rPr>
        <w:t xml:space="preserve"> </w:t>
      </w:r>
      <w:r w:rsidR="0020694C" w:rsidRPr="00132B06">
        <w:rPr>
          <w:rFonts w:ascii="Helvetica" w:eastAsia="Times New Roman" w:hAnsi="Helvetica" w:cs="Times New Roman"/>
          <w:sz w:val="22"/>
          <w:szCs w:val="22"/>
          <w:lang w:eastAsia="en-US"/>
        </w:rPr>
        <w:t>Below</w:t>
      </w:r>
      <w:r w:rsidR="00CF1E01" w:rsidRPr="00132B06">
        <w:rPr>
          <w:rFonts w:ascii="Helvetica" w:eastAsia="Times New Roman" w:hAnsi="Helvetica" w:cs="Times New Roman"/>
          <w:sz w:val="22"/>
          <w:szCs w:val="22"/>
          <w:lang w:eastAsia="en-US"/>
        </w:rPr>
        <w:t xml:space="preserve">, </w:t>
      </w:r>
      <w:r w:rsidR="00372CA4" w:rsidRPr="00132B06">
        <w:rPr>
          <w:rFonts w:ascii="Helvetica" w:eastAsia="Times New Roman" w:hAnsi="Helvetica" w:cs="Times New Roman"/>
          <w:sz w:val="22"/>
          <w:szCs w:val="22"/>
          <w:lang w:eastAsia="en-US"/>
        </w:rPr>
        <w:t xml:space="preserve">we demonstrate </w:t>
      </w:r>
      <w:r w:rsidR="00545708" w:rsidRPr="00132B06">
        <w:rPr>
          <w:rFonts w:ascii="Helvetica" w:eastAsia="Times New Roman" w:hAnsi="Helvetica" w:cs="Times New Roman"/>
          <w:sz w:val="22"/>
          <w:szCs w:val="22"/>
          <w:lang w:eastAsia="en-US"/>
        </w:rPr>
        <w:t>how monitoring investment based on the value of informa</w:t>
      </w:r>
      <w:r w:rsidR="0020694C" w:rsidRPr="00132B06">
        <w:rPr>
          <w:rFonts w:ascii="Helvetica" w:eastAsia="Times New Roman" w:hAnsi="Helvetica" w:cs="Times New Roman"/>
          <w:sz w:val="22"/>
          <w:szCs w:val="22"/>
          <w:lang w:eastAsia="en-US"/>
        </w:rPr>
        <w:t xml:space="preserve">tion can increase sustainable management of </w:t>
      </w:r>
      <w:r w:rsidR="00545708" w:rsidRPr="00132B06">
        <w:rPr>
          <w:rFonts w:ascii="Helvetica" w:eastAsia="Times New Roman" w:hAnsi="Helvetica" w:cs="Times New Roman"/>
          <w:sz w:val="22"/>
          <w:szCs w:val="22"/>
          <w:lang w:eastAsia="en-US"/>
        </w:rPr>
        <w:t>biological systems</w:t>
      </w:r>
      <w:r w:rsidR="00783147" w:rsidRPr="00132B06">
        <w:rPr>
          <w:rFonts w:ascii="Helvetica" w:eastAsia="Times New Roman" w:hAnsi="Helvetica" w:cs="Times New Roman"/>
          <w:sz w:val="22"/>
          <w:szCs w:val="22"/>
          <w:lang w:eastAsia="en-US"/>
        </w:rPr>
        <w:t xml:space="preserve"> by reducing the risk of an ecosystem crossing a threshold into a less-preferred state</w:t>
      </w:r>
      <w:r w:rsidR="0020694C" w:rsidRPr="00132B06">
        <w:rPr>
          <w:rFonts w:ascii="Helvetica" w:eastAsia="Times New Roman" w:hAnsi="Helvetica" w:cs="Times New Roman"/>
          <w:sz w:val="22"/>
          <w:szCs w:val="22"/>
          <w:lang w:eastAsia="en-US"/>
        </w:rPr>
        <w:t>.</w:t>
      </w:r>
    </w:p>
    <w:p w14:paraId="48FA23D4" w14:textId="6FFF29AD" w:rsidR="002A3B6B" w:rsidRPr="008D57B4" w:rsidRDefault="00677931" w:rsidP="00783147">
      <w:pPr>
        <w:ind w:firstLine="720"/>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often include critical thresholds –</w:t>
      </w:r>
      <w:r w:rsidR="0044422E">
        <w:rPr>
          <w:rFonts w:ascii="Helvetica" w:hAnsi="Helvetica"/>
          <w:sz w:val="22"/>
          <w:szCs w:val="22"/>
        </w:rPr>
        <w:t xml:space="preserve"> </w:t>
      </w:r>
      <w:r w:rsidR="00EE6528" w:rsidRPr="0093151E">
        <w:rPr>
          <w:rFonts w:ascii="Helvetica" w:hAnsi="Helvetica"/>
          <w:sz w:val="22"/>
          <w:szCs w:val="22"/>
        </w:rPr>
        <w:t xml:space="preserve">tipping points – where the system rapidly switches </w:t>
      </w:r>
      <w:r w:rsidR="009173F8">
        <w:rPr>
          <w:rFonts w:ascii="Helvetica" w:hAnsi="Helvetica"/>
          <w:sz w:val="22"/>
          <w:szCs w:val="22"/>
        </w:rPr>
        <w:t>regimes</w:t>
      </w:r>
      <w:r w:rsidR="00EE6528" w:rsidRPr="0093151E">
        <w:rPr>
          <w:rFonts w:ascii="Helvetica" w:hAnsi="Helvetica"/>
          <w:sz w:val="22"/>
          <w:szCs w:val="22"/>
        </w:rPr>
        <w:t xml:space="preserve">,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w:t>
      </w:r>
      <w:r w:rsidR="00AC335B">
        <w:rPr>
          <w:rFonts w:ascii="Helvetica" w:hAnsi="Helvetica"/>
          <w:sz w:val="22"/>
          <w:szCs w:val="22"/>
        </w:rPr>
        <w:t>that</w:t>
      </w:r>
      <w:r w:rsidR="00EE6528" w:rsidRPr="0093151E">
        <w:rPr>
          <w:rFonts w:ascii="Helvetica" w:hAnsi="Helvetica"/>
          <w:sz w:val="22"/>
          <w:szCs w:val="22"/>
        </w:rPr>
        <w:t xml:space="preserve"> </w:t>
      </w:r>
      <w:r w:rsidR="00AC335B">
        <w:rPr>
          <w:rFonts w:ascii="Helvetica" w:hAnsi="Helvetica"/>
          <w:sz w:val="22"/>
          <w:szCs w:val="22"/>
        </w:rPr>
        <w:t>precipitate</w:t>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F3208E">
        <w:rPr>
          <w:rFonts w:ascii="Helvetica" w:hAnsi="Helvetica"/>
          <w:sz w:val="22"/>
          <w:szCs w:val="22"/>
        </w:rPr>
        <w:t>H</w:t>
      </w:r>
      <w:r w:rsidR="00927676" w:rsidRPr="007B4E5A">
        <w:rPr>
          <w:rFonts w:ascii="Helvetica" w:hAnsi="Helvetica"/>
          <w:sz w:val="22"/>
          <w:szCs w:val="22"/>
        </w:rPr>
        <w:t xml:space="preserve">uman activities </w:t>
      </w:r>
      <w:r w:rsidR="009173F8">
        <w:rPr>
          <w:rFonts w:ascii="Helvetica" w:hAnsi="Helvetica"/>
          <w:sz w:val="22"/>
          <w:szCs w:val="22"/>
        </w:rPr>
        <w:t>have</w:t>
      </w:r>
      <w:r w:rsidR="00927676" w:rsidRPr="007B4E5A">
        <w:rPr>
          <w:rFonts w:ascii="Helvetica" w:hAnsi="Helvetica"/>
          <w:sz w:val="22"/>
          <w:szCs w:val="22"/>
        </w:rPr>
        <w:t xml:space="preserve"> cause</w:t>
      </w:r>
      <w:r w:rsidR="009173F8">
        <w:rPr>
          <w:rFonts w:ascii="Helvetica" w:hAnsi="Helvetica"/>
          <w:sz w:val="22"/>
          <w:szCs w:val="22"/>
        </w:rPr>
        <w:t>d</w:t>
      </w:r>
      <w:r w:rsidR="00927676" w:rsidRPr="007B4E5A">
        <w:rPr>
          <w:rFonts w:ascii="Helvetica" w:hAnsi="Helvetica"/>
          <w:sz w:val="22"/>
          <w:szCs w:val="22"/>
        </w:rPr>
        <w:t xml:space="preserve"> </w:t>
      </w:r>
      <w:r w:rsidR="00FE40B2">
        <w:rPr>
          <w:rFonts w:ascii="Helvetica" w:hAnsi="Helvetica"/>
          <w:sz w:val="22"/>
          <w:szCs w:val="22"/>
        </w:rPr>
        <w:t xml:space="preserve">regime shifts </w:t>
      </w:r>
      <w:r w:rsidR="00F3208E">
        <w:rPr>
          <w:rFonts w:ascii="Helvetica" w:hAnsi="Helvetica"/>
          <w:sz w:val="22"/>
          <w:szCs w:val="22"/>
        </w:rPr>
        <w:t xml:space="preserve">in a variety of ecosystems </w:t>
      </w:r>
      <w:r w:rsidR="009173F8">
        <w:rPr>
          <w:rFonts w:ascii="Helvetica" w:hAnsi="Helvetica"/>
          <w:sz w:val="22"/>
          <w:szCs w:val="22"/>
        </w:rPr>
        <w:t xml:space="preserve">(e.g. </w:t>
      </w:r>
      <w:r w:rsidR="008C3BF1" w:rsidRPr="007B4E5A">
        <w:rPr>
          <w:rFonts w:ascii="Helvetica" w:hAnsi="Helvetica"/>
          <w:sz w:val="22"/>
          <w:szCs w:val="22"/>
        </w:rPr>
        <w:t xml:space="preserve">savannahs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&lt;EndNote&gt;&lt;Cite&gt;&lt;Author&gt;Staver&lt;/Author&gt;&lt;Year&gt;2011&lt;/Year&gt;&lt;RecNum&gt;8267&lt;/RecNum&gt;&lt;DisplayText&gt;(Staver&lt;style face="italic"&gt; et al.&lt;/style&gt; 2011)&lt;/DisplayText&gt;&lt;record&gt;&lt;rec-number&gt;8267&lt;/rec-number&gt;&lt;foreign-keys&gt;&lt;key app="EN" db-id="dsrza9wtbra05fevxvw5svf8d0a9a0ptptvp" timestamp="1448488688"&gt;8267&lt;/key&gt;&lt;/foreign-keys&gt;&lt;ref-type name="Journal Article"&gt;17&lt;/ref-type&gt;&lt;contributors&gt;&lt;authors&gt;&lt;author&gt;Staver, A Carla&lt;/author&gt;&lt;author&gt;Archibald, Sally&lt;/author&gt;&lt;author&gt;Levin, Simon&lt;/author&gt;&lt;/authors&gt;&lt;/contributors&gt;&lt;titles&gt;&lt;title&gt;Tree cover in sub-Saharan Africa: rainfall and fire constrain forest and savanna as alternative stable states&lt;/title&gt;&lt;secondary-title&gt;Ecology&lt;/secondary-title&gt;&lt;/titles&gt;&lt;periodical&gt;&lt;full-title&gt;Ecology&lt;/full-title&gt;&lt;/periodical&gt;&lt;pages&gt;1063-1072&lt;/pages&gt;&lt;volume&gt;92&lt;/volume&gt;&lt;number&gt;5&lt;/number&gt;&lt;dates&gt;&lt;year&gt;2011&lt;/year&gt;&lt;/dates&gt;&lt;isbn&gt;0012-9658&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(Staver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2011)</w:t>
      </w:r>
      <w:r w:rsidR="008C3BF1">
        <w:rPr>
          <w:rFonts w:ascii="Helvetica" w:hAnsi="Helvetica"/>
          <w:sz w:val="22"/>
          <w:szCs w:val="22"/>
        </w:rPr>
        <w:fldChar w:fldCharType="end"/>
      </w:r>
      <w:r w:rsidR="008C3BF1" w:rsidRPr="007B4E5A">
        <w:rPr>
          <w:rFonts w:ascii="Helvetica" w:hAnsi="Helvetica"/>
          <w:sz w:val="22"/>
          <w:szCs w:val="22"/>
        </w:rPr>
        <w:t xml:space="preserve">, shallow lakes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&lt;EndNote&gt;&lt;Cite&gt;&lt;Author&gt;Scheffer&lt;/Author&gt;&lt;Year&gt;1993&lt;/Year&gt;&lt;RecNum&gt;8268&lt;/RecNum&gt;&lt;DisplayText&gt;(Scheffer&lt;style face="italic"&gt; et al.&lt;/style&gt; 1993)&lt;/DisplayText&gt;&lt;record&gt;&lt;rec-number&gt;8268&lt;/rec-number&gt;&lt;foreign-keys&gt;&lt;key app="EN" db-id="dsrza9wtbra05fevxvw5svf8d0a9a0ptptvp" timestamp="1448488762"&gt;8268&lt;/key&gt;&lt;/foreign-keys&gt;&lt;ref-type name="Journal Article"&gt;17&lt;/ref-type&gt;&lt;contributors&gt;&lt;authors&gt;&lt;author&gt;Scheffer, Marten&lt;/author&gt;&lt;author&gt;Hosper, SH&lt;/author&gt;&lt;author&gt;Meijer, ML&lt;/author&gt;&lt;author&gt;Moss, Brian&lt;/author&gt;&lt;author&gt;Jeppesen, Erik&lt;/author&gt;&lt;/authors&gt;&lt;/contributors&gt;&lt;titles&gt;&lt;title&gt;Alternative equilibria in shallow lakes&lt;/title&gt;&lt;secondary-title&gt;Trends in ecology &amp;amp; evolution&lt;/secondary-title&gt;&lt;/titles&gt;&lt;periodical&gt;&lt;full-title&gt;Trends in Ecology &amp;amp; Evolution&lt;/full-title&gt;&lt;/periodical&gt;&lt;pages&gt;275-279&lt;/pages&gt;&lt;volume&gt;8&lt;/volume&gt;&lt;number&gt;8&lt;/number&gt;&lt;dates&gt;&lt;year&gt;1993&lt;/year&gt;&lt;/dates&gt;&lt;isbn&gt;0169-5347&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(Scheffer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1993)</w:t>
      </w:r>
      <w:r w:rsidR="008C3BF1">
        <w:rPr>
          <w:rFonts w:ascii="Helvetica" w:hAnsi="Helvetica"/>
          <w:sz w:val="22"/>
          <w:szCs w:val="22"/>
        </w:rPr>
        <w:fldChar w:fldCharType="end"/>
      </w:r>
      <w:r w:rsidR="008C3BF1" w:rsidRPr="007B4E5A">
        <w:rPr>
          <w:rFonts w:ascii="Helvetica" w:hAnsi="Helvetica"/>
          <w:sz w:val="22"/>
          <w:szCs w:val="22"/>
        </w:rPr>
        <w:t xml:space="preserve">, and coral reefs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&lt;EndNote&gt;&lt;Cite&gt;&lt;Author&gt;Mumby&lt;/Author&gt;&lt;Year&gt;2007&lt;/Year&gt;&lt;RecNum&gt;8269&lt;/RecNum&gt;&lt;DisplayText&gt;(Mumby&lt;style face="italic"&gt; et al.&lt;/style&gt; 2007)&lt;/DisplayText&gt;&lt;record&gt;&lt;rec-number&gt;8269&lt;/rec-number&gt;&lt;foreign-keys&gt;&lt;key app="EN" db-id="dsrza9wtbra05fevxvw5svf8d0a9a0ptptvp" timestamp="1448488836"&gt;8269&lt;/key&gt;&lt;/foreign-keys&gt;&lt;ref-type name="Journal Article"&gt;17&lt;/ref-type&gt;&lt;contributors&gt;&lt;authors&gt;&lt;author&gt;Mumby, Peter J&lt;/author&gt;&lt;author&gt;Hastings, Alan&lt;/author&gt;&lt;author&gt;Edwards, Helen J&lt;/author&gt;&lt;/authors&gt;&lt;/contributors&gt;&lt;titles&gt;&lt;title&gt;Thresholds and the resilience of Caribbean coral reefs&lt;/title&gt;&lt;secondary-title&gt;Nature&lt;/secondary-title&gt;&lt;/titles&gt;&lt;periodical&gt;&lt;full-title&gt;Nature&lt;/full-title&gt;&lt;/periodical&gt;&lt;pages&gt;98-101&lt;/pages&gt;&lt;volume&gt;450&lt;/volume&gt;&lt;number&gt;7166&lt;/number&gt;&lt;dates&gt;&lt;year&gt;2007&lt;/year&gt;&lt;/dates&gt;&lt;isbn&gt;0028-0836&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(Mumby</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2007)</w:t>
      </w:r>
      <w:r w:rsidR="008C3BF1">
        <w:rPr>
          <w:rFonts w:ascii="Helvetica" w:hAnsi="Helvetica"/>
          <w:sz w:val="22"/>
          <w:szCs w:val="22"/>
        </w:rPr>
        <w:fldChar w:fldCharType="end"/>
      </w:r>
      <w:r w:rsidR="009173F8">
        <w:rPr>
          <w:rFonts w:ascii="Helvetica" w:hAnsi="Helvetica"/>
          <w:sz w:val="22"/>
          <w:szCs w:val="22"/>
        </w:rPr>
        <w:t xml:space="preserve">, and these regime shifts </w:t>
      </w:r>
      <w:r w:rsidR="009E2207">
        <w:rPr>
          <w:rFonts w:ascii="Helvetica" w:hAnsi="Helvetica"/>
          <w:sz w:val="22"/>
          <w:szCs w:val="22"/>
        </w:rPr>
        <w:t>in</w:t>
      </w:r>
      <w:r w:rsidR="00783147">
        <w:rPr>
          <w:rFonts w:ascii="Helvetica" w:hAnsi="Helvetica"/>
          <w:sz w:val="22"/>
          <w:szCs w:val="22"/>
        </w:rPr>
        <w:t>-</w:t>
      </w:r>
      <w:r w:rsidR="009E2207">
        <w:rPr>
          <w:rFonts w:ascii="Helvetica" w:hAnsi="Helvetica"/>
          <w:sz w:val="22"/>
          <w:szCs w:val="22"/>
        </w:rPr>
        <w:t>turn can modify the</w:t>
      </w:r>
      <w:r w:rsidR="00B97121">
        <w:rPr>
          <w:rFonts w:ascii="Helvetica" w:hAnsi="Helvetica"/>
          <w:sz w:val="22"/>
          <w:szCs w:val="22"/>
        </w:rPr>
        <w:t xml:space="preserve"> </w:t>
      </w:r>
      <w:r w:rsidR="009173F8">
        <w:rPr>
          <w:rFonts w:ascii="Helvetica" w:hAnsi="Helvetica"/>
          <w:sz w:val="22"/>
          <w:szCs w:val="22"/>
        </w:rPr>
        <w:t xml:space="preserve">services </w:t>
      </w:r>
      <w:r w:rsidR="00B97121">
        <w:rPr>
          <w:rFonts w:ascii="Helvetica" w:hAnsi="Helvetica"/>
          <w:sz w:val="22"/>
          <w:szCs w:val="22"/>
        </w:rPr>
        <w:t>ecosystems provide</w:t>
      </w:r>
      <w:r w:rsidR="009E2207">
        <w:rPr>
          <w:rFonts w:ascii="Helvetica" w:hAnsi="Helvetica"/>
          <w:sz w:val="22"/>
          <w:szCs w:val="22"/>
        </w:rPr>
        <w:t xml:space="preserve"> to humans</w:t>
      </w:r>
      <w:r w:rsidR="00B97121">
        <w:rPr>
          <w:rFonts w:ascii="Helvetica" w:hAnsi="Helvetica"/>
          <w:sz w:val="22"/>
          <w:szCs w:val="22"/>
        </w:rPr>
        <w:t xml:space="preserve"> </w: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 </w:instrTex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EN.CITE.DATA </w:instrText>
      </w:r>
      <w:r w:rsidR="00B97121">
        <w:rPr>
          <w:rFonts w:ascii="Helvetica" w:hAnsi="Helvetica"/>
          <w:sz w:val="22"/>
          <w:szCs w:val="22"/>
        </w:rPr>
      </w:r>
      <w:r w:rsidR="00B97121">
        <w:rPr>
          <w:rFonts w:ascii="Helvetica" w:hAnsi="Helvetica"/>
          <w:sz w:val="22"/>
          <w:szCs w:val="22"/>
        </w:rPr>
        <w:fldChar w:fldCharType="end"/>
      </w:r>
      <w:r w:rsidR="00B97121">
        <w:rPr>
          <w:rFonts w:ascii="Helvetica" w:hAnsi="Helvetica"/>
          <w:sz w:val="22"/>
          <w:szCs w:val="22"/>
        </w:rPr>
      </w:r>
      <w:r w:rsidR="00B97121">
        <w:rPr>
          <w:rFonts w:ascii="Helvetica" w:hAnsi="Helvetica"/>
          <w:sz w:val="22"/>
          <w:szCs w:val="22"/>
        </w:rPr>
        <w:fldChar w:fldCharType="separate"/>
      </w:r>
      <w:r w:rsidR="00B97121">
        <w:rPr>
          <w:rFonts w:ascii="Helvetica" w:hAnsi="Helvetica"/>
          <w:noProof/>
          <w:sz w:val="22"/>
          <w:szCs w:val="22"/>
        </w:rPr>
        <w:t>(Folke</w:t>
      </w:r>
      <w:r w:rsidR="00B97121" w:rsidRPr="00B97121">
        <w:rPr>
          <w:rFonts w:ascii="Helvetica" w:hAnsi="Helvetica"/>
          <w:i/>
          <w:noProof/>
          <w:sz w:val="22"/>
          <w:szCs w:val="22"/>
        </w:rPr>
        <w:t xml:space="preserve"> et al.</w:t>
      </w:r>
      <w:r w:rsidR="00B97121">
        <w:rPr>
          <w:rFonts w:ascii="Helvetica" w:hAnsi="Helvetica"/>
          <w:noProof/>
          <w:sz w:val="22"/>
          <w:szCs w:val="22"/>
        </w:rPr>
        <w:t xml:space="preserve"> 2004)</w:t>
      </w:r>
      <w:r w:rsidR="00B97121">
        <w:rPr>
          <w:rFonts w:ascii="Helvetica" w:hAnsi="Helvetica"/>
          <w:sz w:val="22"/>
          <w:szCs w:val="22"/>
        </w:rPr>
        <w:fldChar w:fldCharType="end"/>
      </w:r>
      <w:r w:rsidR="00F14722">
        <w:rPr>
          <w:rFonts w:ascii="Helvetica" w:hAnsi="Helvetica"/>
          <w:sz w:val="22"/>
          <w:szCs w:val="22"/>
        </w:rPr>
        <w:t xml:space="preserve">. </w:t>
      </w:r>
      <w:r w:rsidR="008D57B4">
        <w:rPr>
          <w:rFonts w:ascii="Helvetica" w:hAnsi="Helvetica"/>
          <w:sz w:val="22"/>
          <w:szCs w:val="22"/>
        </w:rPr>
        <w:t xml:space="preserve">Hereafter we define the point at which an ecosystem transitions from one regime to another as the biological tipping point. </w:t>
      </w:r>
      <w:r w:rsidR="002B1698" w:rsidRPr="0093151E">
        <w:rPr>
          <w:rFonts w:ascii="Helvetica" w:hAnsi="Helvetica"/>
          <w:sz w:val="22"/>
          <w:szCs w:val="22"/>
        </w:rPr>
        <w:t>Once</w:t>
      </w:r>
      <w:r w:rsidR="008D57B4">
        <w:rPr>
          <w:rFonts w:ascii="Helvetica" w:hAnsi="Helvetica"/>
          <w:sz w:val="22"/>
          <w:szCs w:val="22"/>
        </w:rPr>
        <w:t xml:space="preserve"> biological</w:t>
      </w:r>
      <w:r w:rsidR="002B1698" w:rsidRPr="0093151E">
        <w:rPr>
          <w:rFonts w:ascii="Helvetica" w:hAnsi="Helvetica"/>
          <w:sz w:val="22"/>
          <w:szCs w:val="22"/>
        </w:rPr>
        <w:t xml:space="preserve"> tipping points are crossed, </w:t>
      </w:r>
      <w:r w:rsidR="002B1698">
        <w:rPr>
          <w:rFonts w:ascii="Helvetica" w:hAnsi="Helvetica"/>
          <w:sz w:val="22"/>
          <w:szCs w:val="22"/>
        </w:rPr>
        <w:t xml:space="preserve">slow successional processes and </w:t>
      </w:r>
      <w:r w:rsidR="002B1698" w:rsidRPr="0093151E">
        <w:rPr>
          <w:rFonts w:ascii="Helvetica" w:hAnsi="Helvetica"/>
          <w:sz w:val="22"/>
          <w:szCs w:val="22"/>
        </w:rPr>
        <w:t>positive feedback loops can maintain degraded or less-preferred states and make it difficult to recover disrupted social-ecological systems</w:t>
      </w:r>
      <w:r w:rsidR="002B1698">
        <w:rPr>
          <w:rFonts w:ascii="Helvetica" w:hAnsi="Helvetica"/>
          <w:sz w:val="22"/>
          <w:szCs w:val="22"/>
        </w:rPr>
        <w:t xml:space="preserve"> </w:t>
      </w:r>
      <w:r w:rsidR="002B1698" w:rsidRPr="00570D99">
        <w:rPr>
          <w:rFonts w:ascii="Helvetica" w:hAnsi="Helvetica"/>
          <w:sz w:val="22"/>
          <w:szCs w:val="22"/>
        </w:rPr>
        <w:fldChar w:fldCharType="begin"/>
      </w:r>
      <w:r w:rsidR="002B1698"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2B1698" w:rsidRPr="00570D99">
        <w:rPr>
          <w:rFonts w:ascii="Helvetica" w:hAnsi="Helvetica"/>
          <w:sz w:val="22"/>
          <w:szCs w:val="22"/>
        </w:rPr>
        <w:fldChar w:fldCharType="separate"/>
      </w:r>
      <w:r w:rsidR="002B1698" w:rsidRPr="00570D99">
        <w:rPr>
          <w:rFonts w:ascii="Helvetica" w:hAnsi="Helvetica"/>
          <w:noProof/>
          <w:sz w:val="22"/>
          <w:szCs w:val="22"/>
        </w:rPr>
        <w:t>(Rockström</w:t>
      </w:r>
      <w:r w:rsidR="002B1698" w:rsidRPr="00570D99">
        <w:rPr>
          <w:rFonts w:ascii="Helvetica" w:hAnsi="Helvetica"/>
          <w:i/>
          <w:noProof/>
          <w:sz w:val="22"/>
          <w:szCs w:val="22"/>
        </w:rPr>
        <w:t xml:space="preserve"> et al.</w:t>
      </w:r>
      <w:r w:rsidR="002B1698" w:rsidRPr="00570D99">
        <w:rPr>
          <w:rFonts w:ascii="Helvetica" w:hAnsi="Helvetica"/>
          <w:noProof/>
          <w:sz w:val="22"/>
          <w:szCs w:val="22"/>
        </w:rPr>
        <w:t xml:space="preserve"> 2009)</w:t>
      </w:r>
      <w:r w:rsidR="002B1698" w:rsidRPr="00570D99">
        <w:rPr>
          <w:rFonts w:ascii="Helvetica" w:hAnsi="Helvetica"/>
          <w:sz w:val="22"/>
          <w:szCs w:val="22"/>
        </w:rPr>
        <w:fldChar w:fldCharType="end"/>
      </w:r>
      <w:r w:rsidR="002834C1">
        <w:rPr>
          <w:rFonts w:ascii="Helvetica" w:hAnsi="Helvetica"/>
          <w:sz w:val="22"/>
          <w:szCs w:val="22"/>
        </w:rPr>
        <w:t>.</w:t>
      </w:r>
      <w:r w:rsidR="002B1698" w:rsidRPr="002B1698">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w:t>
      </w:r>
      <w:r w:rsidR="00E476B1">
        <w:rPr>
          <w:rFonts w:ascii="Helvetica" w:hAnsi="Helvetica"/>
          <w:sz w:val="22"/>
          <w:szCs w:val="22"/>
        </w:rPr>
        <w:t xml:space="preserve">administrators </w:t>
      </w:r>
      <w:r w:rsidR="00EA75D8">
        <w:rPr>
          <w:rFonts w:ascii="Helvetica" w:hAnsi="Helvetica"/>
          <w:sz w:val="22"/>
          <w:szCs w:val="22"/>
        </w:rPr>
        <w:t>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thresholds below which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5C7499">
        <w:rPr>
          <w:rFonts w:ascii="Helvetica" w:hAnsi="Helvetica"/>
          <w:sz w:val="22"/>
          <w:szCs w:val="22"/>
        </w:rPr>
        <w:t>(hereafter a</w:t>
      </w:r>
      <w:r w:rsidR="000953F0">
        <w:rPr>
          <w:rFonts w:ascii="Helvetica" w:hAnsi="Helvetica"/>
          <w:sz w:val="22"/>
          <w:szCs w:val="22"/>
        </w:rPr>
        <w:t xml:space="preserve"> management threshold)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w:t>
      </w:r>
      <w:r w:rsidR="004E011E">
        <w:rPr>
          <w:rFonts w:ascii="Helvetica" w:hAnsi="Helvetica"/>
          <w:sz w:val="22"/>
          <w:szCs w:val="22"/>
        </w:rPr>
        <w:t xml:space="preserve"> </w:t>
      </w:r>
      <w:r w:rsidR="00867138">
        <w:rPr>
          <w:rFonts w:ascii="Helvetica" w:hAnsi="Helvetica"/>
          <w:sz w:val="22"/>
          <w:szCs w:val="22"/>
        </w:rPr>
        <w:t xml:space="preserve">However, intensive and expensive monitoring is required to estimate the state of an ecosystem and it’s proximity to a management threshold or biological tipping point.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783147">
        <w:rPr>
          <w:rFonts w:ascii="Helvetica" w:hAnsi="Helvetica"/>
          <w:sz w:val="22"/>
          <w:szCs w:val="22"/>
        </w:rPr>
        <w:t>can we</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w:t>
      </w:r>
      <w:r w:rsidR="007822B6">
        <w:rPr>
          <w:rFonts w:ascii="Helvetica" w:hAnsi="Helvetica"/>
          <w:sz w:val="22"/>
          <w:szCs w:val="22"/>
        </w:rPr>
        <w:t>thresholds</w:t>
      </w:r>
      <w:r w:rsidR="001C6065" w:rsidRPr="0093151E">
        <w:rPr>
          <w:rFonts w:ascii="Helvetica" w:hAnsi="Helvetica"/>
          <w:sz w:val="22"/>
          <w:szCs w:val="22"/>
        </w:rPr>
        <w:t xml:space="preserve">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2451229B" w:rsidR="0030245C" w:rsidRPr="000E4B23" w:rsidRDefault="00BE5C03" w:rsidP="000E4B23">
      <w:pPr>
        <w:ind w:firstLine="720"/>
        <w:rPr>
          <w:rFonts w:ascii="Helvetica" w:hAnsi="Helvetica"/>
          <w:sz w:val="22"/>
          <w:szCs w:val="22"/>
        </w:rPr>
      </w:pPr>
      <w:r w:rsidRPr="00957F1F">
        <w:rPr>
          <w:rFonts w:ascii="Helvetica" w:hAnsi="Helvetica"/>
          <w:sz w:val="22"/>
          <w:szCs w:val="22"/>
        </w:rPr>
        <w:t>Intensive monitoring can help to simultaneously maximize ecosystem services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w:t>
      </w:r>
      <w:r w:rsidR="004A4F80">
        <w:rPr>
          <w:rFonts w:ascii="Helvetica" w:hAnsi="Helvetica"/>
          <w:sz w:val="22"/>
          <w:szCs w:val="22"/>
        </w:rPr>
        <w:t>understand the</w:t>
      </w:r>
      <w:r w:rsidR="00AC7FCC" w:rsidRPr="002A3B6B">
        <w:rPr>
          <w:rFonts w:ascii="Helvetica" w:hAnsi="Helvetica"/>
          <w:sz w:val="22"/>
          <w:szCs w:val="22"/>
        </w:rPr>
        <w:t xml:space="preserve"> cause(s) of fluctuations in resource availability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4A4F80">
        <w:rPr>
          <w:rFonts w:ascii="Helvetica" w:hAnsi="Helvetica"/>
          <w:sz w:val="22"/>
          <w:szCs w:val="22"/>
        </w:rPr>
        <w:t xml:space="preserve"> </w:t>
      </w:r>
      <w:r w:rsidR="0020241E">
        <w:rPr>
          <w:rFonts w:ascii="Helvetica" w:hAnsi="Helvetica"/>
          <w:sz w:val="22"/>
          <w:szCs w:val="22"/>
        </w:rPr>
        <w:fldChar w:fldCharType="begin"/>
      </w:r>
      <w:r w:rsidR="0020241E">
        <w:rPr>
          <w:rFonts w:ascii="Helvetica" w:hAnsi="Helvetica"/>
          <w:sz w:val="22"/>
          <w:szCs w:val="22"/>
        </w:rPr>
        <w:instrText xml:space="preserve"> ADDIN EN.CITE &lt;EndNote&gt;&lt;Cite&gt;&lt;Author&gt;Rockström&lt;/Author&gt;&lt;Year&gt;2009&lt;/Year&gt;&lt;RecNum&gt;8123&lt;/RecNum&gt;&lt;DisplayText&gt;(Sethi&lt;style face="italic"&gt; et al.&lt;/style&gt; 2005;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Sethi&lt;/Author&gt;&lt;Year&gt;2005&lt;/Year&gt;&lt;RecNum&gt;8144&lt;/RecNum&gt;&lt;record&gt;&lt;rec-number&gt;8144&lt;/rec-number&gt;&lt;foreign-keys&gt;&lt;key app="EN" db-id="dsrza9wtbra05fevxvw5svf8d0a9a0ptptvp" timestamp="1443312273"&gt;8144&lt;/key&gt;&lt;/foreign-keys&gt;&lt;ref-type name="Journal Article"&gt;17&lt;/ref-type&gt;&lt;contributors&gt;&lt;authors&gt;&lt;author&gt;Sethi, Gautam&lt;/author&gt;&lt;author&gt;Costello, Christopher&lt;/author&gt;&lt;author&gt;Fisher, Anthony&lt;/author&gt;&lt;author&gt;Hanemann, Michael&lt;/author&gt;&lt;author&gt;Karp, Larry&lt;/author&gt;&lt;/authors&gt;&lt;/contributors&gt;&lt;titles&gt;&lt;title&gt;Fishery management under multiple uncertainty&lt;/title&gt;&lt;secondary-title&gt;Journal of Environmental Economics and Management&lt;/secondary-title&gt;&lt;/titles&gt;&lt;periodical&gt;&lt;full-title&gt;Journal of Environmental Economics and Management&lt;/full-title&gt;&lt;/periodical&gt;&lt;pages&gt;300-318&lt;/pages&gt;&lt;volume&gt;50&lt;/volume&gt;&lt;number&gt;2&lt;/number&gt;&lt;dates&gt;&lt;year&gt;2005&lt;/year&gt;&lt;/dates&gt;&lt;isbn&gt;0095-0696&lt;/isbn&gt;&lt;urls&gt;&lt;/urls&gt;&lt;/record&gt;&lt;/Cite&gt;&lt;/EndNote&gt;</w:instrText>
      </w:r>
      <w:r w:rsidR="0020241E">
        <w:rPr>
          <w:rFonts w:ascii="Helvetica" w:hAnsi="Helvetica"/>
          <w:sz w:val="22"/>
          <w:szCs w:val="22"/>
        </w:rPr>
        <w:fldChar w:fldCharType="separate"/>
      </w:r>
      <w:r w:rsidR="0020241E">
        <w:rPr>
          <w:rFonts w:ascii="Helvetica" w:hAnsi="Helvetica"/>
          <w:noProof/>
          <w:sz w:val="22"/>
          <w:szCs w:val="22"/>
        </w:rPr>
        <w:t>(Sethi</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2005; Rockström</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2009)</w:t>
      </w:r>
      <w:r w:rsidR="0020241E">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many reasons</w:t>
      </w:r>
      <w:r w:rsidR="004A4F80">
        <w:rPr>
          <w:rFonts w:ascii="Helvetica" w:hAnsi="Helvetica"/>
          <w:sz w:val="22"/>
          <w:szCs w:val="22"/>
        </w:rPr>
        <w:t>,</w:t>
      </w:r>
      <w:r w:rsidR="007D6F08" w:rsidRPr="002A3B6B">
        <w:rPr>
          <w:rFonts w:ascii="Helvetica" w:hAnsi="Helvetica"/>
          <w:sz w:val="22"/>
          <w:szCs w:val="22"/>
        </w:rPr>
        <w:t xml:space="preserve">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w:t>
      </w:r>
      <w:r w:rsidR="004A4F80">
        <w:rPr>
          <w:rFonts w:ascii="Helvetica" w:hAnsi="Helvetica"/>
          <w:sz w:val="22"/>
          <w:szCs w:val="22"/>
        </w:rPr>
        <w:t>and</w:t>
      </w:r>
      <w:r w:rsidR="005C1861" w:rsidRPr="002A3B6B">
        <w:rPr>
          <w:rFonts w:ascii="Helvetica" w:hAnsi="Helvetica"/>
          <w:sz w:val="22"/>
          <w:szCs w:val="22"/>
        </w:rPr>
        <w:t xml:space="preserve">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536A6">
        <w:rPr>
          <w:rFonts w:ascii="Helvetica" w:hAnsi="Helvetica"/>
          <w:sz w:val="22"/>
          <w:szCs w:val="22"/>
        </w:rPr>
        <w:t xml:space="preserve">error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the</w:t>
      </w:r>
      <w:r w:rsidR="006536A6">
        <w:rPr>
          <w:rFonts w:ascii="Helvetica" w:hAnsi="Helvetica"/>
          <w:sz w:val="22"/>
          <w:szCs w:val="22"/>
        </w:rPr>
        <w:t xml:space="preserve"> extra effort can be </w:t>
      </w:r>
      <w:r w:rsidR="00BB6688">
        <w:rPr>
          <w:rFonts w:ascii="Helvetica" w:hAnsi="Helvetica"/>
          <w:sz w:val="22"/>
          <w:szCs w:val="22"/>
        </w:rPr>
        <w:t xml:space="preserve">costly, </w:t>
      </w:r>
      <w:r w:rsidR="006536A6">
        <w:rPr>
          <w:rFonts w:ascii="Helvetica" w:hAnsi="Helvetica"/>
          <w:sz w:val="22"/>
          <w:szCs w:val="22"/>
        </w:rPr>
        <w:t>compromising the overall value of the management strategy</w:t>
      </w:r>
      <w:r w:rsidR="00CA483C" w:rsidRPr="002A3B6B">
        <w:rPr>
          <w:rFonts w:ascii="Helvetica" w:hAnsi="Helvetica"/>
          <w:sz w:val="22"/>
          <w:szCs w:val="22"/>
        </w:rPr>
        <w:t>.</w:t>
      </w:r>
      <w:r w:rsidR="005C1861" w:rsidRPr="002A3B6B">
        <w:rPr>
          <w:rFonts w:ascii="Helvetica" w:hAnsi="Helvetica"/>
          <w:sz w:val="22"/>
          <w:szCs w:val="22"/>
        </w:rPr>
        <w:t xml:space="preserve"> </w:t>
      </w:r>
      <w:r w:rsidR="006536A6">
        <w:rPr>
          <w:rFonts w:ascii="Helvetica" w:hAnsi="Helvetica"/>
          <w:sz w:val="22"/>
          <w:szCs w:val="22"/>
        </w:rPr>
        <w:t xml:space="preserve">Consequently, </w:t>
      </w:r>
      <w:r w:rsidR="00896FBF">
        <w:rPr>
          <w:rFonts w:ascii="Helvetica" w:hAnsi="Helvetica"/>
          <w:sz w:val="22"/>
          <w:szCs w:val="22"/>
        </w:rPr>
        <w:t>ecosystem</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w:t>
      </w:r>
      <w:r w:rsidR="006536A6">
        <w:rPr>
          <w:rFonts w:ascii="Helvetica" w:hAnsi="Helvetica"/>
          <w:sz w:val="22"/>
          <w:szCs w:val="22"/>
        </w:rPr>
        <w:t xml:space="preserve">about the </w:t>
      </w:r>
      <w:r w:rsidR="006536A6" w:rsidRPr="002D30DC">
        <w:rPr>
          <w:rFonts w:ascii="Helvetica" w:hAnsi="Helvetica"/>
          <w:sz w:val="22"/>
          <w:szCs w:val="22"/>
        </w:rPr>
        <w:t xml:space="preserve">availability </w:t>
      </w:r>
      <w:r w:rsidR="006536A6">
        <w:rPr>
          <w:rFonts w:ascii="Helvetica" w:hAnsi="Helvetica"/>
          <w:sz w:val="22"/>
          <w:szCs w:val="22"/>
        </w:rPr>
        <w:t>and dynamics of</w:t>
      </w:r>
      <w:r w:rsidR="006536A6" w:rsidRPr="002D30DC">
        <w:rPr>
          <w:rFonts w:ascii="Helvetica" w:hAnsi="Helvetica"/>
          <w:sz w:val="22"/>
          <w:szCs w:val="22"/>
        </w:rPr>
        <w:t xml:space="preserve"> resources</w:t>
      </w:r>
      <w:r w:rsidR="006536A6">
        <w:rPr>
          <w:rFonts w:ascii="Helvetica" w:hAnsi="Helvetica"/>
          <w:sz w:val="22"/>
          <w:szCs w:val="22"/>
        </w:rPr>
        <w:t xml:space="preserve"> </w:t>
      </w:r>
      <w:r w:rsidR="00BF7BF0" w:rsidRPr="002D30DC">
        <w:rPr>
          <w:rFonts w:ascii="Helvetica" w:hAnsi="Helvetica"/>
          <w:sz w:val="22"/>
          <w:szCs w:val="22"/>
        </w:rPr>
        <w:t xml:space="preserve">due to limited </w:t>
      </w:r>
      <w:r w:rsidR="001801B3" w:rsidRPr="002D30DC">
        <w:rPr>
          <w:rFonts w:ascii="Helvetica" w:hAnsi="Helvetica"/>
          <w:sz w:val="22"/>
          <w:szCs w:val="22"/>
        </w:rPr>
        <w:t>monitoring</w:t>
      </w:r>
      <w:r w:rsidR="00EB17AA">
        <w:rPr>
          <w:rFonts w:ascii="Helvetica" w:hAnsi="Helvetica"/>
          <w:sz w:val="22"/>
          <w:szCs w:val="22"/>
        </w:rPr>
        <w:t xml:space="preserve"> </w:t>
      </w:r>
      <w:r w:rsidR="0020241E">
        <w:rPr>
          <w:rFonts w:ascii="Helvetica" w:hAnsi="Helvetica"/>
          <w:sz w:val="22"/>
          <w:szCs w:val="22"/>
        </w:rPr>
        <w:fldChar w:fldCharType="begin"/>
      </w:r>
      <w:r w:rsidR="0016114A">
        <w:rPr>
          <w:rFonts w:ascii="Helvetica" w:hAnsi="Helvetica"/>
          <w:sz w:val="22"/>
          <w:szCs w:val="22"/>
        </w:rPr>
        <w:instrText xml:space="preserve"> ADDIN EN.CITE &lt;EndNote&gt;&lt;Cite&gt;&lt;Author&gt;Mangel&lt;/Author&gt;&lt;Year&gt;2000&lt;/Year&gt;&lt;RecNum&gt;4361&lt;/RecNum&gt;&lt;DisplayText&gt;(Mangel 2000a)&lt;/DisplayText&gt;&lt;record&gt;&lt;rec-number&gt;4361&lt;/rec-number&gt;&lt;foreign-keys&gt;&lt;key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20241E">
        <w:rPr>
          <w:rFonts w:ascii="Helvetica" w:hAnsi="Helvetica"/>
          <w:sz w:val="22"/>
          <w:szCs w:val="22"/>
        </w:rPr>
        <w:fldChar w:fldCharType="separate"/>
      </w:r>
      <w:r w:rsidR="0016114A">
        <w:rPr>
          <w:rFonts w:ascii="Helvetica" w:hAnsi="Helvetica"/>
          <w:noProof/>
          <w:sz w:val="22"/>
          <w:szCs w:val="22"/>
        </w:rPr>
        <w:t>(Mangel 2000a)</w:t>
      </w:r>
      <w:r w:rsidR="0020241E">
        <w:rPr>
          <w:rFonts w:ascii="Helvetica" w:hAnsi="Helvetica"/>
          <w:sz w:val="22"/>
          <w:szCs w:val="22"/>
        </w:rPr>
        <w:fldChar w:fldCharType="end"/>
      </w:r>
      <w:r w:rsidR="006536A6">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w:t>
      </w:r>
      <w:r w:rsidR="00896FBF">
        <w:rPr>
          <w:rFonts w:ascii="Helvetica" w:hAnsi="Helvetica"/>
          <w:sz w:val="22"/>
          <w:szCs w:val="22"/>
        </w:rPr>
        <w:t xml:space="preserve">estimate an ecosystem </w:t>
      </w:r>
      <w:r w:rsidR="00A64D09" w:rsidRPr="0077306C">
        <w:rPr>
          <w:rFonts w:ascii="Helvetica" w:hAnsi="Helvetica"/>
          <w:sz w:val="22"/>
          <w:szCs w:val="22"/>
        </w:rPr>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w:t>
      </w:r>
      <w:r w:rsidR="006536A6">
        <w:rPr>
          <w:rFonts w:ascii="Helvetica" w:hAnsi="Helvetica"/>
          <w:sz w:val="22"/>
          <w:szCs w:val="22"/>
        </w:rPr>
        <w:t>near its</w:t>
      </w:r>
      <w:r w:rsidR="00A64D09" w:rsidRPr="0077306C">
        <w:rPr>
          <w:rFonts w:ascii="Helvetica" w:hAnsi="Helvetica"/>
          <w:sz w:val="22"/>
          <w:szCs w:val="22"/>
        </w:rPr>
        <w:t xml:space="preserve">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w:t>
      </w:r>
      <w:r w:rsidR="00C10ECB" w:rsidRPr="00533EAD">
        <w:rPr>
          <w:rFonts w:ascii="Helvetica" w:hAnsi="Helvetica"/>
          <w:sz w:val="22"/>
          <w:szCs w:val="22"/>
        </w:rPr>
        <w:lastRenderedPageBreak/>
        <w:t>the appropriate monitoring strategy when resources are limited and managers are seeking a balance between</w:t>
      </w:r>
      <w:r w:rsidR="00A42E3A">
        <w:rPr>
          <w:rFonts w:ascii="Helvetica" w:hAnsi="Helvetica"/>
          <w:sz w:val="22"/>
          <w:szCs w:val="22"/>
        </w:rPr>
        <w:t xml:space="preserve"> monitoring costs, and resource benefits, and</w:t>
      </w:r>
      <w:r w:rsidR="00C10ECB" w:rsidRPr="00533EAD">
        <w:rPr>
          <w:rFonts w:ascii="Helvetica" w:hAnsi="Helvetica"/>
          <w:sz w:val="22"/>
          <w:szCs w:val="22"/>
        </w:rPr>
        <w:t xml:space="preserve"> </w:t>
      </w:r>
      <w:r w:rsidR="006536A6">
        <w:rPr>
          <w:rFonts w:ascii="Helvetica" w:hAnsi="Helvetica"/>
          <w:sz w:val="22"/>
          <w:szCs w:val="22"/>
        </w:rPr>
        <w:t>avoidance</w:t>
      </w:r>
      <w:r w:rsidR="00A42E3A">
        <w:rPr>
          <w:rFonts w:ascii="Helvetica" w:hAnsi="Helvetica"/>
          <w:sz w:val="22"/>
          <w:szCs w:val="22"/>
        </w:rPr>
        <w:t xml:space="preserve"> of </w:t>
      </w:r>
      <w:r w:rsidR="00887732">
        <w:rPr>
          <w:rFonts w:ascii="Helvetica" w:hAnsi="Helvetica"/>
          <w:sz w:val="22"/>
          <w:szCs w:val="22"/>
        </w:rPr>
        <w:t>biological</w:t>
      </w:r>
      <w:r w:rsidR="00A42E3A">
        <w:rPr>
          <w:rFonts w:ascii="Helvetica" w:hAnsi="Helvetica"/>
          <w:sz w:val="22"/>
          <w:szCs w:val="22"/>
        </w:rPr>
        <w:t xml:space="preserve"> tipping points and management thresholds</w:t>
      </w:r>
      <w:r w:rsidR="00C10ECB" w:rsidRPr="00533EAD">
        <w:rPr>
          <w:rFonts w:ascii="Helvetica" w:hAnsi="Helvetica"/>
          <w:sz w:val="22"/>
          <w:szCs w:val="22"/>
        </w:rPr>
        <w:t>?</w:t>
      </w:r>
      <w:r w:rsidR="001B4DEE" w:rsidRPr="001B4DEE">
        <w:t xml:space="preserve"> </w:t>
      </w:r>
    </w:p>
    <w:p w14:paraId="5CA2BD05" w14:textId="69431F3D"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w:t>
      </w:r>
      <w:r w:rsidR="00896FBF">
        <w:rPr>
          <w:rFonts w:ascii="Helvetica" w:hAnsi="Helvetica"/>
          <w:sz w:val="22"/>
          <w:szCs w:val="22"/>
        </w:rPr>
        <w:t>ecosystem</w:t>
      </w:r>
      <w:r w:rsidR="0023282F">
        <w:rPr>
          <w:rFonts w:ascii="Helvetica" w:hAnsi="Helvetica"/>
          <w:sz w:val="22"/>
          <w:szCs w:val="22"/>
        </w:rPr>
        <w:t xml:space="preserve"> </w:t>
      </w:r>
      <w:r w:rsidR="004D2470" w:rsidRPr="00614769">
        <w:rPr>
          <w:rFonts w:ascii="Helvetica" w:hAnsi="Helvetica"/>
          <w:sz w:val="22"/>
          <w:szCs w:val="22"/>
        </w:rPr>
        <w:t xml:space="preserve">monitoring </w:t>
      </w:r>
      <w:r w:rsidR="00BE79EE">
        <w:rPr>
          <w:rFonts w:ascii="Helvetica" w:hAnsi="Helvetica"/>
          <w:sz w:val="22"/>
          <w:szCs w:val="22"/>
        </w:rPr>
        <w:t xml:space="preserve">in a case study </w:t>
      </w:r>
      <w:r w:rsidR="00A927D8">
        <w:rPr>
          <w:rFonts w:ascii="Helvetica" w:hAnsi="Helvetica"/>
          <w:sz w:val="22"/>
          <w:szCs w:val="22"/>
        </w:rPr>
        <w:t>involving</w:t>
      </w:r>
      <w:r w:rsidR="00D87B47" w:rsidRPr="00614769">
        <w:rPr>
          <w:rFonts w:ascii="Helvetica" w:hAnsi="Helvetica"/>
          <w:sz w:val="22"/>
          <w:szCs w:val="22"/>
        </w:rPr>
        <w:t xml:space="preserve"> </w:t>
      </w:r>
      <w:r w:rsidR="00A927D8">
        <w:rPr>
          <w:rFonts w:ascii="Helvetica" w:hAnsi="Helvetica"/>
          <w:sz w:val="22"/>
          <w:szCs w:val="22"/>
        </w:rPr>
        <w:t xml:space="preserve">extractive use of an ecosystem component that has a tipping point.  </w:t>
      </w:r>
      <w:r w:rsidR="00896FBF">
        <w:rPr>
          <w:rFonts w:ascii="Helvetica" w:hAnsi="Helvetica"/>
          <w:sz w:val="22"/>
          <w:szCs w:val="22"/>
        </w:rPr>
        <w:t>For simplicity we use a single species mode</w:t>
      </w:r>
      <w:r w:rsidR="00380E38">
        <w:rPr>
          <w:rFonts w:ascii="Helvetica" w:hAnsi="Helvetica"/>
          <w:sz w:val="22"/>
          <w:szCs w:val="22"/>
        </w:rPr>
        <w:t xml:space="preserve">l with an </w:t>
      </w:r>
      <w:proofErr w:type="spellStart"/>
      <w:r w:rsidR="00380E38">
        <w:rPr>
          <w:rFonts w:ascii="Helvetica" w:hAnsi="Helvetica"/>
          <w:sz w:val="22"/>
          <w:szCs w:val="22"/>
        </w:rPr>
        <w:t>Allee</w:t>
      </w:r>
      <w:proofErr w:type="spellEnd"/>
      <w:r w:rsidR="00380E38">
        <w:rPr>
          <w:rFonts w:ascii="Helvetica" w:hAnsi="Helvetica"/>
          <w:sz w:val="22"/>
          <w:szCs w:val="22"/>
        </w:rPr>
        <w:t xml:space="preserve"> effect</w:t>
      </w:r>
      <w:r w:rsidR="001E571F">
        <w:rPr>
          <w:rFonts w:ascii="Helvetica" w:hAnsi="Helvetica"/>
          <w:sz w:val="22"/>
          <w:szCs w:val="22"/>
        </w:rPr>
        <w:t xml:space="preserve"> </w:t>
      </w:r>
      <w:r w:rsidR="001E571F">
        <w:rPr>
          <w:rFonts w:ascii="Helvetica" w:hAnsi="Helvetica"/>
          <w:sz w:val="22"/>
          <w:szCs w:val="22"/>
        </w:rPr>
        <w:fldChar w:fldCharType="begin"/>
      </w:r>
      <w:r w:rsidR="001E571F">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1E571F">
        <w:rPr>
          <w:rFonts w:ascii="Helvetica" w:hAnsi="Helvetica"/>
          <w:sz w:val="22"/>
          <w:szCs w:val="22"/>
        </w:rPr>
        <w:fldChar w:fldCharType="separate"/>
      </w:r>
      <w:r w:rsidR="001E571F">
        <w:rPr>
          <w:rFonts w:ascii="Helvetica" w:hAnsi="Helvetica"/>
          <w:noProof/>
          <w:sz w:val="22"/>
          <w:szCs w:val="22"/>
        </w:rPr>
        <w:t>(Stephens</w:t>
      </w:r>
      <w:r w:rsidR="001E571F" w:rsidRPr="005516A9">
        <w:rPr>
          <w:rFonts w:ascii="Helvetica" w:hAnsi="Helvetica"/>
          <w:i/>
          <w:noProof/>
          <w:sz w:val="22"/>
          <w:szCs w:val="22"/>
        </w:rPr>
        <w:t xml:space="preserve"> et al.</w:t>
      </w:r>
      <w:r w:rsidR="001E571F">
        <w:rPr>
          <w:rFonts w:ascii="Helvetica" w:hAnsi="Helvetica"/>
          <w:noProof/>
          <w:sz w:val="22"/>
          <w:szCs w:val="22"/>
        </w:rPr>
        <w:t xml:space="preserve"> 1999)</w:t>
      </w:r>
      <w:r w:rsidR="001E571F">
        <w:rPr>
          <w:rFonts w:ascii="Helvetica" w:hAnsi="Helvetica"/>
          <w:sz w:val="22"/>
          <w:szCs w:val="22"/>
        </w:rPr>
        <w:fldChar w:fldCharType="end"/>
      </w:r>
      <w:r w:rsidR="00380E38">
        <w:rPr>
          <w:rFonts w:ascii="Helvetica" w:hAnsi="Helvetica"/>
          <w:sz w:val="22"/>
          <w:szCs w:val="22"/>
        </w:rPr>
        <w:t xml:space="preserve">; however, we argue that a broader understanding of the value of monitoring information applies broadly to </w:t>
      </w:r>
      <w:r w:rsidR="00A927D8">
        <w:rPr>
          <w:rFonts w:ascii="Helvetica" w:hAnsi="Helvetica"/>
          <w:sz w:val="22"/>
          <w:szCs w:val="22"/>
        </w:rPr>
        <w:t>any feedback system in which human use of an ecosystem service alters the ecosystem state</w:t>
      </w:r>
      <w:r w:rsidR="00380E38">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management strategy used to avoid a tipping point. We use this model to </w:t>
      </w:r>
      <w:r w:rsidR="004B2744">
        <w:rPr>
          <w:rFonts w:ascii="Helvetica" w:hAnsi="Helvetica"/>
          <w:sz w:val="22"/>
          <w:szCs w:val="22"/>
        </w:rPr>
        <w:t>describe how the value of harvesting and certainty about the system</w:t>
      </w:r>
      <w:r w:rsidR="00EB17AA">
        <w:rPr>
          <w:rFonts w:ascii="Helvetica" w:hAnsi="Helvetica"/>
          <w:sz w:val="22"/>
          <w:szCs w:val="22"/>
        </w:rPr>
        <w:t>’s</w:t>
      </w:r>
      <w:r w:rsidR="004B2744">
        <w:rPr>
          <w:rFonts w:ascii="Helvetica" w:hAnsi="Helvetica"/>
          <w:sz w:val="22"/>
          <w:szCs w:val="22"/>
        </w:rPr>
        <w:t xml:space="preserve"> state impacts the probability of crossing a management threshold and biological tipping point. We then ask</w:t>
      </w:r>
      <w:r w:rsidR="00852921">
        <w:rPr>
          <w:rFonts w:ascii="Helvetica" w:hAnsi="Helvetica"/>
          <w:sz w:val="22"/>
          <w:szCs w:val="22"/>
        </w:rPr>
        <w:t xml:space="preserve"> </w:t>
      </w:r>
      <w:r w:rsidR="00EB17AA">
        <w:rPr>
          <w:rFonts w:ascii="Helvetica" w:hAnsi="Helvetica"/>
          <w:sz w:val="22"/>
          <w:szCs w:val="22"/>
        </w:rPr>
        <w:t xml:space="preserve">three key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387CAD1B"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29C79877"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thresholds we model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3F437634"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w:t>
      </w:r>
      <w:r w:rsidR="00DC3520">
        <w:rPr>
          <w:rFonts w:ascii="Helvetica" w:hAnsi="Helvetica"/>
          <w:sz w:val="22"/>
          <w:szCs w:val="22"/>
        </w:rPr>
        <w:lastRenderedPageBreak/>
        <w:t xml:space="preserve">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proofErr w:type="gramStart"/>
      <w:r w:rsidR="00DC3520" w:rsidRPr="00957F1F">
        <w:rPr>
          <w:rFonts w:ascii="Helvetica" w:hAnsi="Helvetica"/>
          <w:i/>
          <w:sz w:val="22"/>
          <w:szCs w:val="22"/>
        </w:rPr>
        <w:t>t</w:t>
      </w:r>
      <w:r w:rsidR="00DC3520" w:rsidRPr="00957F1F">
        <w:rPr>
          <w:rFonts w:ascii="Helvetica" w:hAnsi="Helvetica"/>
          <w:sz w:val="22"/>
          <w:szCs w:val="22"/>
        </w:rPr>
        <w:t>.</w:t>
      </w:r>
      <w:proofErr w:type="gramEnd"/>
    </w:p>
    <w:p w14:paraId="0E413E8D" w14:textId="77777777" w:rsidR="00D12CEC" w:rsidRPr="00957F1F" w:rsidRDefault="00D12CEC" w:rsidP="00590C63">
      <w:pPr>
        <w:rPr>
          <w:rFonts w:ascii="Helvetica" w:hAnsi="Helvetica"/>
          <w:sz w:val="22"/>
          <w:szCs w:val="22"/>
        </w:rPr>
      </w:pPr>
    </w:p>
    <w:p w14:paraId="78096017" w14:textId="7AC458D3"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
      <w:r w:rsidR="00CF750D" w:rsidRPr="00F3098E">
        <w:rPr>
          <w:rFonts w:ascii="Helvetica" w:hAnsi="Helvetica"/>
          <w:sz w:val="22"/>
          <w:szCs w:val="22"/>
        </w:rPr>
        <w:t>The</w:t>
      </w:r>
      <w:commentRangeEnd w:id="2"/>
      <w:r w:rsidR="00D5784C" w:rsidRPr="00D01283">
        <w:rPr>
          <w:rStyle w:val="CommentReference"/>
          <w:rFonts w:ascii="Helvetica" w:hAnsi="Helvetica"/>
          <w:sz w:val="22"/>
          <w:szCs w:val="22"/>
        </w:rPr>
        <w:commentReference w:id="2"/>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569DF765" w:rsidR="003435AE" w:rsidRPr="00957F1F" w:rsidRDefault="00FD7CE9" w:rsidP="003435AE">
      <w:pPr>
        <w:rPr>
          <w:rFonts w:ascii="Helvetica" w:hAnsi="Helvetica"/>
          <w:sz w:val="22"/>
          <w:szCs w:val="22"/>
        </w:rPr>
      </w:pPr>
      <w:commentRangeStart w:id="3"/>
      <w:r w:rsidRPr="00FD7CE9">
        <w:rPr>
          <w:rFonts w:ascii="Helvetica" w:hAnsi="Helvetica"/>
          <w:sz w:val="22"/>
          <w:szCs w:val="22"/>
          <w:u w:val="single"/>
        </w:rPr>
        <w:t>Management</w:t>
      </w:r>
      <w:commentRangeEnd w:id="3"/>
      <w:r w:rsidR="00B35F0C">
        <w:rPr>
          <w:rStyle w:val="CommentReference"/>
        </w:rPr>
        <w:commentReference w:id="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0AD03D58"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 xml:space="preserve">the marginal cost of </w:t>
      </w:r>
      <w:r w:rsidR="007821E5">
        <w:rPr>
          <w:rFonts w:ascii="Helvetica" w:hAnsi="Helvetica"/>
          <w:sz w:val="22"/>
          <w:szCs w:val="22"/>
        </w:rPr>
        <w:lastRenderedPageBreak/>
        <w:t>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4"/>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4"/>
      <w:r w:rsidR="00D866F3">
        <w:rPr>
          <w:rStyle w:val="CommentReference"/>
        </w:rPr>
        <w:commentReference w:id="4"/>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biological tipping point or management threshold</w:t>
      </w:r>
      <w:proofErr w:type="gramStart"/>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w:t>
      </w:r>
      <w:proofErr w:type="gramEnd"/>
      <w:r w:rsidR="00EE58CA">
        <w:rPr>
          <w:rFonts w:ascii="Helvetica" w:hAnsi="Helvetica"/>
          <w:sz w:val="22"/>
          <w:szCs w:val="22"/>
        </w:rPr>
        <w:t xml:space="preserve">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E94B1FB"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571FDB00"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management threshold or biological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995761">
        <w:rPr>
          <w:rFonts w:ascii="Helvetica" w:hAnsi="Helvetica"/>
          <w:sz w:val="22"/>
          <w:szCs w:val="22"/>
        </w:rPr>
        <w:t xml:space="preserve"> (Fig. 2a)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995761" w:rsidRPr="00940663">
        <w:rPr>
          <w:rFonts w:ascii="Helvetica" w:hAnsi="Helvetica"/>
          <w:sz w:val="22"/>
          <w:szCs w:val="22"/>
        </w:rPr>
        <w:t xml:space="preserve"> 2b).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7777777" w:rsidR="00EB4914" w:rsidRDefault="00F82FC2" w:rsidP="00BA3468">
      <w:pPr>
        <w:rPr>
          <w:rFonts w:ascii="Helvetica" w:hAnsi="Helvetica"/>
          <w:sz w:val="22"/>
          <w:szCs w:val="22"/>
        </w:rPr>
      </w:pPr>
      <w:commentRangeStart w:id="5"/>
      <w:r w:rsidRPr="00677C8E">
        <w:rPr>
          <w:rFonts w:ascii="Helvetica" w:hAnsi="Helvetica"/>
          <w:sz w:val="22"/>
          <w:szCs w:val="22"/>
        </w:rPr>
        <w:lastRenderedPageBreak/>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5"/>
      <w:r>
        <w:rPr>
          <w:rStyle w:val="CommentReference"/>
        </w:rPr>
        <w:commentReference w:id="5"/>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9B53B89" w14:textId="77777777" w:rsidR="007F6B81" w:rsidRDefault="007F6B81" w:rsidP="007F6B81">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28B9B1F7" w14:textId="77777777" w:rsidR="007F6B81" w:rsidRDefault="007F6B81" w:rsidP="007F6B81">
      <w:pPr>
        <w:rPr>
          <w:rFonts w:ascii="Helvetica" w:hAnsi="Helvetica"/>
          <w:i/>
          <w:sz w:val="22"/>
          <w:szCs w:val="22"/>
        </w:rPr>
      </w:pPr>
    </w:p>
    <w:p w14:paraId="76ED173C" w14:textId="7B78E71F" w:rsidR="007F6B81" w:rsidRPr="00940663" w:rsidRDefault="007F6B81" w:rsidP="007F6B81">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6"/>
      <w:r>
        <w:rPr>
          <w:rFonts w:ascii="Helvetica" w:hAnsi="Helvetica"/>
          <w:sz w:val="22"/>
          <w:szCs w:val="22"/>
        </w:rPr>
        <w:t>management threshold</w:t>
      </w:r>
      <w:commentRangeEnd w:id="6"/>
      <w:r>
        <w:rPr>
          <w:rStyle w:val="CommentReference"/>
        </w:rPr>
        <w:commentReference w:id="6"/>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lastRenderedPageBreak/>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704D48"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7"/>
      <w:r w:rsidR="00A15F36">
        <w:rPr>
          <w:rFonts w:ascii="Helvetica" w:hAnsi="Helvetica"/>
          <w:sz w:val="22"/>
          <w:szCs w:val="22"/>
        </w:rPr>
        <w:t xml:space="preserve">the system tipping </w:t>
      </w:r>
      <w:commentRangeEnd w:id="7"/>
      <w:r w:rsidR="00211620">
        <w:rPr>
          <w:rStyle w:val="CommentReference"/>
        </w:rPr>
        <w:commentReference w:id="7"/>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39858CAB"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Knowing the dimensions of</w:t>
      </w:r>
      <w:r w:rsidR="001C5532" w:rsidRPr="00930F73">
        <w:rPr>
          <w:rFonts w:ascii="Helvetica" w:hAnsi="Helvetica"/>
          <w:sz w:val="22"/>
          <w:szCs w:val="22"/>
        </w:rPr>
        <w:t xml:space="preserve"> this safe operating space</w:t>
      </w:r>
      <w:r w:rsidR="00A4289C">
        <w:rPr>
          <w:rFonts w:ascii="Helvetica" w:hAnsi="Helvetica"/>
          <w:sz w:val="22"/>
          <w:szCs w:val="22"/>
        </w:rPr>
        <w:t xml:space="preserve">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D10B3BB"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8F762F">
        <w:rPr>
          <w:rFonts w:ascii="Helvetica" w:hAnsi="Helvetica"/>
          <w:sz w:val="22"/>
          <w:szCs w:val="22"/>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6917A070" w:rsidR="009233A8" w:rsidRDefault="00400B8E" w:rsidP="009233A8">
      <w:pPr>
        <w:rPr>
          <w:rFonts w:ascii="Helvetica" w:hAnsi="Helvetica" w:cs="Helvetica"/>
          <w:sz w:val="22"/>
          <w:szCs w:val="22"/>
        </w:rPr>
      </w:pPr>
      <w:r>
        <w:rPr>
          <w:rFonts w:ascii="Helvetica" w:hAnsi="Helvetica"/>
          <w:sz w:val="22"/>
          <w:szCs w:val="22"/>
        </w:rPr>
        <w:t>The</w:t>
      </w:r>
      <w:r w:rsidR="004C5771">
        <w:rPr>
          <w:rFonts w:ascii="Helvetica" w:hAnsi="Helvetica"/>
          <w:sz w:val="22"/>
          <w:szCs w:val="22"/>
        </w:rPr>
        <w:t xml:space="preserve"> monitoring </w:t>
      </w:r>
      <w:r>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Pr>
          <w:rFonts w:ascii="Helvetica" w:hAnsi="Helvetica"/>
          <w:sz w:val="22"/>
          <w:szCs w:val="22"/>
        </w:rPr>
        <w:t xml:space="preserve">. </w:t>
      </w:r>
      <w:r w:rsidR="00F312BB" w:rsidRPr="00A21B6D">
        <w:rPr>
          <w:rFonts w:ascii="Helvetica" w:hAnsi="Helvetica" w:cs="Helvetica Neue"/>
          <w:sz w:val="22"/>
          <w:szCs w:val="22"/>
        </w:rPr>
        <w:t xml:space="preserve"> </w:t>
      </w:r>
      <w:r>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s</w:t>
      </w:r>
      <w:r w:rsidR="00F312BB" w:rsidRPr="00A21B6D">
        <w:rPr>
          <w:rFonts w:ascii="Helvetica" w:hAnsi="Helvetica" w:cs="Helvetica Neue"/>
          <w:sz w:val="22"/>
          <w:szCs w:val="22"/>
        </w:rPr>
        <w:t xml:space="preserve"> </w:t>
      </w:r>
      <w:r w:rsidRPr="00A21B6D">
        <w:rPr>
          <w:rFonts w:ascii="Helvetica" w:hAnsi="Helvetica" w:cs="Helvetica Neue"/>
          <w:sz w:val="22"/>
          <w:szCs w:val="22"/>
        </w:rPr>
        <w:lastRenderedPageBreak/>
        <w:t>become</w:t>
      </w:r>
      <w:r>
        <w:rPr>
          <w:rFonts w:ascii="Helvetica" w:hAnsi="Helvetica" w:cs="Helvetica Neue"/>
          <w:sz w:val="22"/>
          <w:szCs w:val="22"/>
        </w:rPr>
        <w:t xml:space="preserve"> increasingly </w:t>
      </w:r>
      <w:r w:rsidR="002279DC" w:rsidRPr="00A21B6D">
        <w:rPr>
          <w:rFonts w:ascii="Helvetica" w:hAnsi="Helvetica" w:cs="Helvetica Neue"/>
          <w:sz w:val="22"/>
          <w:szCs w:val="22"/>
        </w:rPr>
        <w:t>exploited</w:t>
      </w:r>
      <w:r w:rsidR="00F312BB" w:rsidRPr="00A21B6D">
        <w:rPr>
          <w:rFonts w:ascii="Helvetica" w:hAnsi="Helvetica" w:cs="Helvetica Neue"/>
          <w:sz w:val="22"/>
          <w:szCs w:val="22"/>
        </w:rPr>
        <w:t xml:space="preserve"> and approach</w:t>
      </w:r>
      <w:r w:rsidR="00DE2726">
        <w:rPr>
          <w:rFonts w:ascii="Helvetica" w:hAnsi="Helvetica" w:cs="Helvetica Neue"/>
          <w:sz w:val="22"/>
          <w:szCs w:val="22"/>
        </w:rPr>
        <w:t xml:space="preserve"> </w:t>
      </w:r>
      <w:r w:rsidR="004758C3" w:rsidRPr="00A21B6D">
        <w:rPr>
          <w:rFonts w:ascii="Helvetica" w:hAnsi="Helvetica" w:cs="Helvetica Neue"/>
          <w:sz w:val="22"/>
          <w:szCs w:val="22"/>
        </w:rPr>
        <w:t xml:space="preserve">biological </w:t>
      </w:r>
      <w:r w:rsidR="00F92099">
        <w:rPr>
          <w:rFonts w:ascii="Helvetica" w:hAnsi="Helvetica" w:cs="Helvetica Neue"/>
          <w:sz w:val="22"/>
          <w:szCs w:val="22"/>
        </w:rPr>
        <w:t>tipping points</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effectively</w:t>
      </w:r>
      <w:r w:rsidR="009233A8" w:rsidRPr="00927692">
        <w:rPr>
          <w:rFonts w:ascii="Helvetica" w:hAnsi="Helvetica" w:cs="Helvetica"/>
          <w:sz w:val="22"/>
          <w:szCs w:val="22"/>
        </w:rPr>
        <w:t xml:space="preserve"> minimize</w:t>
      </w:r>
      <w:r w:rsidR="009233A8">
        <w:rPr>
          <w:rFonts w:ascii="Helvetica" w:hAnsi="Helvetica" w:cs="Helvetica"/>
          <w:sz w:val="22"/>
          <w:szCs w:val="22"/>
        </w:rPr>
        <w:t>s monitoring costs</w:t>
      </w:r>
      <w:r w:rsidR="00B22036">
        <w:rPr>
          <w:rFonts w:ascii="Helvetica" w:hAnsi="Helvetica" w:cs="Helvetica"/>
          <w:sz w:val="22"/>
          <w:szCs w:val="22"/>
        </w:rPr>
        <w:t>, maximizes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r w:rsidR="009233A8">
        <w:rPr>
          <w:rFonts w:ascii="Helvetica" w:hAnsi="Helvetica" w:cs="Helvetica"/>
          <w:sz w:val="22"/>
          <w:szCs w:val="22"/>
        </w:rPr>
        <w:t xml:space="preserve">resource </w:t>
      </w:r>
      <w:r w:rsidR="009233A8" w:rsidRPr="00927692">
        <w:rPr>
          <w:rFonts w:ascii="Helvetica" w:hAnsi="Helvetica" w:cs="Helvetica"/>
          <w:sz w:val="22"/>
          <w:szCs w:val="22"/>
        </w:rPr>
        <w:t>agencies</w:t>
      </w:r>
      <w:r w:rsidR="009233A8">
        <w:rPr>
          <w:rFonts w:ascii="Helvetica" w:hAnsi="Helvetica" w:cs="Helvetica"/>
          <w:sz w:val="22"/>
          <w:szCs w:val="22"/>
        </w:rPr>
        <w:t>, government institutions,</w:t>
      </w:r>
      <w:r w:rsidR="009233A8" w:rsidRPr="00927692">
        <w:rPr>
          <w:rFonts w:ascii="Helvetica" w:hAnsi="Helvetica" w:cs="Helvetica"/>
          <w:sz w:val="22"/>
          <w:szCs w:val="22"/>
        </w:rPr>
        <w:t xml:space="preserve"> and managers 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77777777"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biological tipping point or management threshold.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D76DAF0" w:rsidR="00874D07" w:rsidRDefault="00FE0BB8" w:rsidP="008020E6">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are not always inline 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w:t>
      </w:r>
      <w:commentRangeStart w:id="8"/>
      <w:r w:rsidR="00FA68C5">
        <w:rPr>
          <w:rFonts w:ascii="Helvetica" w:hAnsi="Helvetica"/>
          <w:sz w:val="22"/>
          <w:szCs w:val="22"/>
        </w:rPr>
        <w:t>contrast</w:t>
      </w:r>
      <w:commentRangeEnd w:id="8"/>
      <w:r w:rsidR="00FA68C5">
        <w:rPr>
          <w:rStyle w:val="CommentReference"/>
        </w:rPr>
        <w:commentReference w:id="8"/>
      </w:r>
      <w:r w:rsidR="00FA68C5">
        <w:rPr>
          <w:rFonts w:ascii="Helvetica" w:hAnsi="Helvetica"/>
          <w:sz w:val="22"/>
          <w:szCs w:val="22"/>
        </w:rPr>
        <w:t xml:space="preserve">,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Misaligned incentives further </w:t>
      </w:r>
      <w:r w:rsidR="007E4DA3">
        <w:rPr>
          <w:rFonts w:ascii="Helvetica" w:hAnsi="Helvetica"/>
          <w:sz w:val="22"/>
          <w:szCs w:val="22"/>
        </w:rPr>
        <w:t xml:space="preserve">emerge when the resource is </w:t>
      </w:r>
      <w:r w:rsidR="00BC5AA5">
        <w:rPr>
          <w:rFonts w:ascii="Helvetica" w:hAnsi="Helvetica"/>
          <w:sz w:val="22"/>
          <w:szCs w:val="22"/>
        </w:rPr>
        <w:t xml:space="preserve">in poor condition. When resources hover around a biological tipping point or management threshold, </w:t>
      </w:r>
      <w:r w:rsidR="005573F4">
        <w:rPr>
          <w:rFonts w:ascii="Helvetica" w:hAnsi="Helvetica"/>
          <w:sz w:val="22"/>
          <w:szCs w:val="22"/>
        </w:rPr>
        <w:t xml:space="preserve">they are often in low abundance, yielding low financial benefits from harvest, yet monitoring information is highly valuable to avoid crossing to a less preferred state. </w:t>
      </w:r>
      <w:r w:rsidR="008020E6">
        <w:rPr>
          <w:rFonts w:ascii="Helvetica" w:hAnsi="Helvetica"/>
          <w:sz w:val="22"/>
          <w:szCs w:val="22"/>
        </w:rPr>
        <w:t xml:space="preserve">For an industry that is highly dependent on a single resource, there is therefore economic incentive increased monitoring investment despite low yields, but this is a rare occurrence. Our study highlights how important monitoring information can be despite low profits. It is therefore critical we seek </w:t>
      </w:r>
      <w:r w:rsidR="00F9071C">
        <w:rPr>
          <w:rFonts w:ascii="Helvetica" w:hAnsi="Helvetica"/>
          <w:sz w:val="22"/>
          <w:szCs w:val="22"/>
        </w:rPr>
        <w:t xml:space="preserve">economically viable solutions that promote maximizing ecosystem services while maintaining sustainable resource management and minimizing monitoring costs. </w:t>
      </w:r>
    </w:p>
    <w:p w14:paraId="344BC563" w14:textId="7F5C9576" w:rsidR="00F9071C" w:rsidRDefault="00F9071C" w:rsidP="00F9071C">
      <w:pPr>
        <w:rPr>
          <w:rFonts w:ascii="Helvetica" w:hAnsi="Helvetica"/>
          <w:sz w:val="22"/>
          <w:szCs w:val="22"/>
        </w:rPr>
      </w:pPr>
      <w:r>
        <w:rPr>
          <w:rFonts w:ascii="Helvetica" w:hAnsi="Helvetica"/>
          <w:sz w:val="22"/>
          <w:szCs w:val="22"/>
        </w:rPr>
        <w:tab/>
        <w:t xml:space="preserve">Commercial fisheries management offers an interesting case study in placing the burden of monitoring costs on the industry versus the government. For example, in Canada and Australia, industry is primarily fiscally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9"/>
      <w:r>
        <w:rPr>
          <w:rFonts w:ascii="Helvetica" w:hAnsi="Helvetica"/>
          <w:sz w:val="22"/>
          <w:szCs w:val="22"/>
        </w:rPr>
        <w:t>.</w:t>
      </w:r>
      <w:commentRangeEnd w:id="9"/>
      <w:r>
        <w:rPr>
          <w:rStyle w:val="CommentReference"/>
        </w:rPr>
        <w:commentReference w:id="9"/>
      </w:r>
      <w:r>
        <w:rPr>
          <w:rFonts w:ascii="Helvetica" w:hAnsi="Helvetica"/>
          <w:sz w:val="22"/>
          <w:szCs w:val="22"/>
        </w:rPr>
        <w:t xml:space="preserve"> However, the fishery crossed a management threshold 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723505">
        <w:rPr>
          <w:rFonts w:ascii="Helvetica" w:hAnsi="Helvetica"/>
          <w:sz w:val="22"/>
          <w:szCs w:val="22"/>
        </w:rPr>
        <w:t xml:space="preserve"> and due to the </w:t>
      </w:r>
      <w:proofErr w:type="spellStart"/>
      <w:r w:rsidR="00723505">
        <w:rPr>
          <w:rFonts w:ascii="Helvetica" w:hAnsi="Helvetica"/>
          <w:sz w:val="22"/>
          <w:szCs w:val="22"/>
        </w:rPr>
        <w:t>Larocque</w:t>
      </w:r>
      <w:proofErr w:type="spellEnd"/>
      <w:r w:rsidR="00723505">
        <w:rPr>
          <w:rFonts w:ascii="Helvetica" w:hAnsi="Helvetica"/>
          <w:sz w:val="22"/>
          <w:szCs w:val="22"/>
        </w:rPr>
        <w:t xml:space="preserve"> decision baring fish for science strategies,</w:t>
      </w:r>
      <w:r>
        <w:rPr>
          <w:rFonts w:ascii="Helvetica" w:hAnsi="Helvetica"/>
          <w:sz w:val="22"/>
          <w:szCs w:val="22"/>
        </w:rPr>
        <w:t xml:space="preserve"> fishing profits are low, leaving little </w:t>
      </w:r>
      <w:r>
        <w:rPr>
          <w:rFonts w:ascii="Helvetica" w:hAnsi="Helvetica"/>
          <w:sz w:val="22"/>
          <w:szCs w:val="22"/>
        </w:rPr>
        <w:lastRenderedPageBreak/>
        <w:t>incentive</w:t>
      </w:r>
      <w:r w:rsidR="00D50138">
        <w:rPr>
          <w:rFonts w:ascii="Helvetica" w:hAnsi="Helvetica"/>
          <w:sz w:val="22"/>
          <w:szCs w:val="22"/>
        </w:rPr>
        <w:t xml:space="preserve"> or opportunity</w:t>
      </w:r>
      <w:r>
        <w:rPr>
          <w:rFonts w:ascii="Helvetica" w:hAnsi="Helvetica"/>
          <w:sz w:val="22"/>
          <w:szCs w:val="22"/>
        </w:rPr>
        <w:t xml:space="preserve"> for industry to pay for monitoring. As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which impacts scientists’ capacity to precisely estimate existing biomass</w:t>
      </w:r>
      <w:r w:rsidR="00582FDE">
        <w:rPr>
          <w:rFonts w:ascii="Helvetica" w:hAnsi="Helvetica"/>
          <w:sz w:val="22"/>
          <w:szCs w:val="22"/>
        </w:rPr>
        <w:t xml:space="preserve"> and may prolong closures</w:t>
      </w:r>
      <w:r>
        <w:rPr>
          <w:rFonts w:ascii="Helvetica" w:hAnsi="Helvetica"/>
          <w:sz w:val="22"/>
          <w:szCs w:val="22"/>
        </w:rPr>
        <w:t xml:space="preserve">. This case study describes a common pattern where industry is often willing to pay for monitoring when the fishery is healthy, but funding declines when the fishery collapses – the precise moment when information is most valuable </w:t>
      </w:r>
      <w:r>
        <w:rPr>
          <w:rFonts w:ascii="Helvetica" w:hAnsi="Helvetica"/>
          <w:sz w:val="22"/>
          <w:szCs w:val="22"/>
        </w:rPr>
        <w:fldChar w:fldCharType="begin"/>
      </w:r>
      <w:r>
        <w:rPr>
          <w:rFonts w:ascii="Helvetica" w:hAnsi="Helvetica"/>
          <w:sz w:val="22"/>
          <w:szCs w:val="22"/>
        </w:rPr>
        <w:instrText xml:space="preserve"> ADDIN EN.CITE &lt;EndNote&gt;&lt;Cite&gt;&lt;Author&gt;Chadès&lt;/Author&gt;&lt;Year&gt;2008&lt;/Year&gt;&lt;RecNum&gt;8291&lt;/RecNum&gt;&lt;Prefix&gt;but for an example of when monitoring may not be optimal in this scenario see &lt;/Prefix&gt;&lt;DisplayText&gt;(but for an example of when monitoring may not be optimal in this scenario see Chadès&lt;style face="italic"&gt; et al.&lt;/style&gt; 2008)&lt;/DisplayText&gt;&lt;record&gt;&lt;rec-number&gt;8291&lt;/rec-number&gt;&lt;foreign-keys&gt;&lt;key app="EN" db-id="dsrza9wtbra05fevxvw5svf8d0a9a0ptptvp" timestamp="1450463167"&gt;8291&lt;/key&gt;&lt;/foreign-keys&gt;&lt;ref-type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Sciences&lt;/full-title&gt;&lt;/periodical&gt;&lt;pages&gt;13936-13940&lt;/pages&gt;&lt;volume&gt;105&lt;/volume&gt;&lt;number&gt;37&lt;/number&gt;&lt;dates&gt;&lt;year&gt;2008&lt;/year&gt;&lt;pub-dates&gt;&lt;date&gt;September 16, 2008&lt;/date&gt;&lt;/pub-dates&gt;&lt;/dates&gt;&lt;urls&gt;&lt;related-urls&gt;&lt;url&gt;http://www.pnas.org/content/105/37/13936.abstract&lt;/url&gt;&lt;/related-urls&gt;&lt;/urls&gt;&lt;electronic-resource-num&gt;10.1073/pnas.0805265105&lt;/electronic-resource-num&gt;&lt;/record&gt;&lt;/Cite&gt;&lt;/EndNote&gt;</w:instrText>
      </w:r>
      <w:r>
        <w:rPr>
          <w:rFonts w:ascii="Helvetica" w:hAnsi="Helvetica"/>
          <w:sz w:val="22"/>
          <w:szCs w:val="22"/>
        </w:rPr>
        <w:fldChar w:fldCharType="separate"/>
      </w:r>
      <w:r>
        <w:rPr>
          <w:rFonts w:ascii="Helvetica" w:hAnsi="Helvetica"/>
          <w:noProof/>
          <w:sz w:val="22"/>
          <w:szCs w:val="22"/>
        </w:rPr>
        <w:t>(but for an example of when monitoring may not be optimal in this scenario see Chadès</w:t>
      </w:r>
      <w:r w:rsidRPr="0020241E">
        <w:rPr>
          <w:rFonts w:ascii="Helvetica" w:hAnsi="Helvetica"/>
          <w:i/>
          <w:noProof/>
          <w:sz w:val="22"/>
          <w:szCs w:val="22"/>
        </w:rPr>
        <w:t xml:space="preserve"> et al.</w:t>
      </w:r>
      <w:r>
        <w:rPr>
          <w:rFonts w:ascii="Helvetica" w:hAnsi="Helvetica"/>
          <w:noProof/>
          <w:sz w:val="22"/>
          <w:szCs w:val="22"/>
        </w:rPr>
        <w:t xml:space="preserve"> 2008)</w:t>
      </w:r>
      <w:r>
        <w:rPr>
          <w:rFonts w:ascii="Helvetica" w:hAnsi="Helvetica"/>
          <w:sz w:val="22"/>
          <w:szCs w:val="22"/>
        </w:rPr>
        <w:fldChar w:fldCharType="end"/>
      </w:r>
      <w:r>
        <w:rPr>
          <w:rFonts w:ascii="Helvetica" w:hAnsi="Helvetica"/>
          <w:sz w:val="22"/>
          <w:szCs w:val="22"/>
        </w:rPr>
        <w:t xml:space="preserve">. </w:t>
      </w:r>
    </w:p>
    <w:p w14:paraId="4F66AEDB" w14:textId="59964E31" w:rsidR="00FC5856" w:rsidRDefault="00FC5856" w:rsidP="00442CE6">
      <w:pPr>
        <w:widowControl w:val="0"/>
        <w:autoSpaceDE w:val="0"/>
        <w:autoSpaceDN w:val="0"/>
        <w:adjustRightInd w:val="0"/>
        <w:ind w:firstLine="360"/>
        <w:rPr>
          <w:rFonts w:ascii="Helvetica" w:hAnsi="Helvetica"/>
          <w:sz w:val="22"/>
          <w:szCs w:val="22"/>
        </w:rPr>
      </w:pPr>
      <w:r>
        <w:rPr>
          <w:rFonts w:ascii="Helvetica" w:hAnsi="Helvetica"/>
          <w:i/>
          <w:sz w:val="22"/>
          <w:szCs w:val="22"/>
        </w:rPr>
        <w:t xml:space="preserve"> </w:t>
      </w:r>
      <w:r>
        <w:rPr>
          <w:rFonts w:ascii="Helvetica" w:hAnsi="Helvetica"/>
          <w:sz w:val="22"/>
          <w:szCs w:val="22"/>
        </w:rPr>
        <w:t>Management reforms can also influence the incentives the industry faces to support and pay for costly monitoring. Open-access or limited entry fisheries characterized by the “race-to-fish” can generate small, or even negative, profits for the fishing industry</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&lt;EndNote&gt;&lt;Cite&gt;&lt;Author&gt;Gordon&lt;/Author&gt;&lt;Year&gt;1991&lt;/Year&gt;&lt;RecNum&gt;8292&lt;/RecNum&gt;&lt;DisplayText&gt;(Gordon 1991)&lt;/DisplayText&gt;&lt;record&gt;&lt;rec-number&gt;8292&lt;/rec-number&gt;&lt;foreign-keys&gt;&lt;key app="EN" db-id="dsrza9wtbra05fevxvw5svf8d0a9a0ptptvp" timestamp="1450463379"&gt;8292&lt;/key&gt;&lt;/foreign-keys&gt;&lt;ref-type name="Journal Article"&gt;17&lt;/ref-type&gt;&lt;contributors&gt;&lt;authors&gt;&lt;author&gt;Gordon, H Scott&lt;/author&gt;&lt;/authors&gt;&lt;/contributors&gt;&lt;titles&gt;&lt;title&gt;The economic theory of a common-property resource: the fishery&lt;/title&gt;&lt;secondary-title&gt;Bulletin of Mathematical Biology&lt;/secondary-title&gt;&lt;/titles&gt;&lt;periodical&gt;&lt;full-title&gt;Bulletin of Mathematical Biology&lt;/full-title&gt;&lt;/periodical&gt;&lt;pages&gt;231-252&lt;/pages&gt;&lt;volume&gt;53&lt;/volume&gt;&lt;number&gt;1&lt;/number&gt;&lt;dates&gt;&lt;year&gt;1991&lt;/year&gt;&lt;/dates&gt;&lt;isbn&gt;0092-8240&lt;/isbn&gt;&lt;urls&gt;&lt;/urls&gt;&lt;/record&gt;&lt;/Cite&gt;&lt;/EndNote&gt;</w:instrText>
      </w:r>
      <w:r>
        <w:rPr>
          <w:rFonts w:ascii="Helvetica" w:hAnsi="Helvetica"/>
          <w:sz w:val="22"/>
          <w:szCs w:val="22"/>
        </w:rPr>
        <w:fldChar w:fldCharType="separate"/>
      </w:r>
      <w:r>
        <w:rPr>
          <w:rFonts w:ascii="Helvetica" w:hAnsi="Helvetica"/>
          <w:noProof/>
          <w:sz w:val="22"/>
          <w:szCs w:val="22"/>
        </w:rPr>
        <w:t>(Gordon 1991)</w:t>
      </w:r>
      <w:r>
        <w:rPr>
          <w:rFonts w:ascii="Helvetica" w:hAnsi="Helvetica"/>
          <w:sz w:val="22"/>
          <w:szCs w:val="22"/>
        </w:rPr>
        <w:fldChar w:fldCharType="end"/>
      </w:r>
      <w:r>
        <w:rPr>
          <w:rFonts w:ascii="Helvetica" w:hAnsi="Helvetica"/>
          <w:sz w:val="22"/>
          <w:szCs w:val="22"/>
        </w:rPr>
        <w:t xml:space="preserve">. If expected profits with and without better information are essentially zero because of inefficient management, then the value of information will be extremely small. Thus, there is little incentive to support greater monitoring when the potential profit gains are small. Furthermore, if members of the fishing industry are not guaranteed to profit from better monitoring and information, the industry has little incentive to fund costly monitoring efforts. As an extreme example, the value of information in a truly open-access fishery is always zero since any profits generated by better information will be eliminated by additional entry and effort. Conversely, forms of fisheries management that generate economic profits for the fishing industry (such as strict entry or effort limits) and guarantee that current members of the industry will financially benefit if profits increase (such as under catch share programs) incentivize the fishing industry to subsidize monitoring efforts. For example, Griffith </w:t>
      </w:r>
      <w:r>
        <w:rPr>
          <w:rFonts w:ascii="Helvetica" w:hAnsi="Helvetica"/>
          <w:sz w:val="22"/>
          <w:szCs w:val="22"/>
        </w:rPr>
        <w:fldChar w:fldCharType="begin"/>
      </w:r>
      <w:r>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Pr>
          <w:rFonts w:ascii="Helvetica" w:hAnsi="Helvetica"/>
          <w:sz w:val="22"/>
          <w:szCs w:val="22"/>
        </w:rPr>
        <w:fldChar w:fldCharType="separate"/>
      </w:r>
      <w:r>
        <w:rPr>
          <w:rFonts w:ascii="Helvetica" w:hAnsi="Helvetica"/>
          <w:noProof/>
          <w:sz w:val="22"/>
          <w:szCs w:val="22"/>
        </w:rPr>
        <w:t>(2008)</w:t>
      </w:r>
      <w:r>
        <w:rPr>
          <w:rFonts w:ascii="Helvetica" w:hAnsi="Helvetica"/>
          <w:sz w:val="22"/>
          <w:szCs w:val="22"/>
        </w:rPr>
        <w:fldChar w:fldCharType="end"/>
      </w:r>
      <w:r w:rsidRPr="002244CB">
        <w:rPr>
          <w:rFonts w:ascii="Helvetica" w:hAnsi="Helvetica"/>
          <w:sz w:val="22"/>
          <w:szCs w:val="22"/>
        </w:rPr>
        <w:t xml:space="preserve"> </w:t>
      </w:r>
      <w:r>
        <w:rPr>
          <w:rFonts w:ascii="Helvetica" w:hAnsi="Helvetica"/>
          <w:sz w:val="22"/>
          <w:szCs w:val="22"/>
        </w:rPr>
        <w:t>argues that the introduction of Individual Fishing Quotas (IFQs) in several fisheries has changed incentives to such a degree that the fishing industry is now willing to finance greater research and monitoring efforts</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&lt;EndNote&gt;&lt;Cite&gt;&lt;Author&gt;Hilborn&lt;/Author&gt;&lt;Year&gt;2005&lt;/Year&gt;&lt;RecNum&gt;8288&lt;/RecNum&gt;&lt;DisplayText&gt;(Hilborn&lt;style face="italic"&gt; et al.&lt;/style&gt; 2005)&lt;/DisplayText&gt;&lt;record&gt;&lt;rec-number&gt;8288&lt;/rec-number&gt;&lt;foreign-keys&gt;&lt;key app="EN" db-id="dsrza9wtbra05fevxvw5svf8d0a9a0ptptvp" timestamp="1450009740"&gt;8288&lt;/key&gt;&lt;/foreign-keys&gt;&lt;ref-type name="Journal Article"&gt;17&lt;/ref-type&gt;&lt;contributors&gt;&lt;authors&gt;&lt;author&gt;Hilborn, Ray&lt;/author&gt;&lt;author&gt;Orensanz, JM Lobo&lt;/author&gt;&lt;author&gt;Parma, Ana M&lt;/author&gt;&lt;/authors&gt;&lt;/contributors&gt;&lt;titles&gt;&lt;title&gt;Institutions, incentives and the future of fisheries&lt;/title&gt;&lt;secondary-title&gt;Philosophical Transactions of the Royal Society B: Biological Sciences&lt;/secondary-title&gt;&lt;/titles&gt;&lt;periodical&gt;&lt;full-title&gt;Philosophical Transactions of the Royal Society B: Biological Sciences&lt;/full-title&gt;&lt;/periodical&gt;&lt;pages&gt;47-57&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(Hilborn</w:t>
      </w:r>
      <w:r w:rsidRPr="008D57B4">
        <w:rPr>
          <w:rFonts w:ascii="Helvetica" w:hAnsi="Helvetica"/>
          <w:i/>
          <w:noProof/>
          <w:sz w:val="22"/>
          <w:szCs w:val="22"/>
        </w:rPr>
        <w:t xml:space="preserve"> et al.</w:t>
      </w:r>
      <w:r>
        <w:rPr>
          <w:rFonts w:ascii="Helvetica" w:hAnsi="Helvetica"/>
          <w:noProof/>
          <w:sz w:val="22"/>
          <w:szCs w:val="22"/>
        </w:rPr>
        <w:t xml:space="preserve"> 2005)</w:t>
      </w:r>
      <w:r>
        <w:rPr>
          <w:rFonts w:ascii="Helvetica" w:hAnsi="Helvetica"/>
          <w:sz w:val="22"/>
          <w:szCs w:val="22"/>
        </w:rPr>
        <w:fldChar w:fldCharType="end"/>
      </w:r>
      <w:r>
        <w:rPr>
          <w:rFonts w:ascii="Helvetica" w:hAnsi="Helvetica"/>
          <w:sz w:val="22"/>
          <w:szCs w:val="22"/>
        </w:rPr>
        <w:t xml:space="preserve">. Examples include the </w:t>
      </w:r>
      <w:r w:rsidRPr="0018711C">
        <w:rPr>
          <w:rFonts w:ascii="Helvetica" w:hAnsi="Helvetica"/>
          <w:sz w:val="22"/>
          <w:szCs w:val="22"/>
        </w:rPr>
        <w:t>New Zealand southern</w:t>
      </w:r>
      <w:r>
        <w:rPr>
          <w:rFonts w:ascii="Helvetica" w:hAnsi="Helvetica"/>
          <w:sz w:val="22"/>
          <w:szCs w:val="22"/>
        </w:rPr>
        <w:t xml:space="preserve"> </w:t>
      </w:r>
      <w:r w:rsidRPr="0018711C">
        <w:rPr>
          <w:rFonts w:ascii="Helvetica" w:hAnsi="Helvetica"/>
          <w:sz w:val="22"/>
          <w:szCs w:val="22"/>
        </w:rPr>
        <w:t>scallop and oyster fisher</w:t>
      </w:r>
      <w:r>
        <w:rPr>
          <w:rFonts w:ascii="Helvetica" w:hAnsi="Helvetica"/>
          <w:sz w:val="22"/>
          <w:szCs w:val="22"/>
        </w:rPr>
        <w:t xml:space="preserve">y, which self-funds its own research and monitoring vessel; the </w:t>
      </w:r>
      <w:proofErr w:type="spellStart"/>
      <w:r>
        <w:rPr>
          <w:rFonts w:ascii="Helvetica" w:hAnsi="Helvetica"/>
          <w:sz w:val="22"/>
          <w:szCs w:val="22"/>
        </w:rPr>
        <w:t>surfclam</w:t>
      </w:r>
      <w:proofErr w:type="spellEnd"/>
      <w:r>
        <w:rPr>
          <w:rFonts w:ascii="Helvetica" w:hAnsi="Helvetica"/>
          <w:sz w:val="22"/>
          <w:szCs w:val="22"/>
        </w:rPr>
        <w:t xml:space="preserve"> fishery on the US East Coast which funds its own research; and the British Columbia </w:t>
      </w:r>
      <w:proofErr w:type="spellStart"/>
      <w:r>
        <w:rPr>
          <w:rFonts w:ascii="Helvetica" w:hAnsi="Helvetica"/>
          <w:sz w:val="22"/>
          <w:szCs w:val="22"/>
        </w:rPr>
        <w:t>groundfish</w:t>
      </w:r>
      <w:proofErr w:type="spellEnd"/>
      <w:r>
        <w:rPr>
          <w:rFonts w:ascii="Helvetica" w:hAnsi="Helvetica"/>
          <w:sz w:val="22"/>
          <w:szCs w:val="22"/>
        </w:rPr>
        <w:t xml:space="preserve"> IFQ, which uses industry provided funds to conduct at-sea and dockside monitoring. Our model suggests that precautionary buffers may offer a relatively safe compromise for monitoring investment, where the monitoring organization can save money (perhaps into a “rainy day fund”) by monitoring imprecisely when the resource is abundant, then increase monitoring if and when resource abundance declines.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7B25C9D9"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AF4C4C">
        <w:rPr>
          <w:rFonts w:ascii="Helvetica" w:hAnsi="Helvetica" w:cs="Helvetica Neue"/>
          <w:sz w:val="22"/>
          <w:szCs w:val="22"/>
        </w:rPr>
        <w:t xml:space="preserve">Corporations often have large </w:t>
      </w:r>
      <w:r w:rsidR="00143673" w:rsidRPr="00AF4C4C">
        <w:rPr>
          <w:rFonts w:ascii="Helvetica" w:hAnsi="Helvetica" w:cs="Helvetica Neue"/>
          <w:sz w:val="22"/>
          <w:szCs w:val="22"/>
        </w:rPr>
        <w:t xml:space="preserve">and diversified </w:t>
      </w:r>
      <w:r w:rsidR="00126979" w:rsidRPr="00AF4C4C">
        <w:rPr>
          <w:rFonts w:ascii="Helvetica" w:hAnsi="Helvetica" w:cs="Helvetica Neue"/>
          <w:sz w:val="22"/>
          <w:szCs w:val="22"/>
        </w:rPr>
        <w:t>financial holdings</w:t>
      </w:r>
      <w:r w:rsidR="00A429D5" w:rsidRPr="00AF4C4C">
        <w:rPr>
          <w:rFonts w:ascii="Helvetica" w:hAnsi="Helvetica" w:cs="Helvetica Neue"/>
          <w:sz w:val="22"/>
          <w:szCs w:val="22"/>
        </w:rPr>
        <w:t xml:space="preserve"> allowing them to withstand long closures once a population dips below a biological </w:t>
      </w:r>
      <w:r w:rsidR="00097935" w:rsidRPr="00AF4C4C">
        <w:rPr>
          <w:rFonts w:ascii="Helvetica" w:hAnsi="Helvetica" w:cs="Helvetica Neue"/>
          <w:sz w:val="22"/>
          <w:szCs w:val="22"/>
        </w:rPr>
        <w:t xml:space="preserve">tipping point or management </w:t>
      </w:r>
      <w:r w:rsidR="00A429D5" w:rsidRPr="00AF4C4C">
        <w:rPr>
          <w:rFonts w:ascii="Helvetica" w:hAnsi="Helvetica" w:cs="Helvetica Neue"/>
          <w:sz w:val="22"/>
          <w:szCs w:val="22"/>
        </w:rPr>
        <w:t xml:space="preserve">threshold. This financial security might </w:t>
      </w:r>
      <w:r w:rsidR="008E0D7D" w:rsidRPr="00AF4C4C">
        <w:rPr>
          <w:rFonts w:ascii="Helvetica" w:hAnsi="Helvetica" w:cs="Helvetica Neue"/>
          <w:sz w:val="22"/>
          <w:szCs w:val="22"/>
        </w:rPr>
        <w:t>lead industry to harvest aggressively while also taking</w:t>
      </w:r>
      <w:r w:rsidR="00C949EB" w:rsidRPr="00AF4C4C">
        <w:rPr>
          <w:rFonts w:ascii="Helvetica" w:hAnsi="Helvetica" w:cs="Helvetica Neue"/>
          <w:sz w:val="22"/>
          <w:szCs w:val="22"/>
        </w:rPr>
        <w:t xml:space="preserve"> on more risk</w:t>
      </w:r>
      <w:r w:rsidR="00812B30" w:rsidRPr="00AF4C4C">
        <w:rPr>
          <w:rFonts w:ascii="Helvetica" w:hAnsi="Helvetica" w:cs="Helvetica Neue"/>
          <w:sz w:val="22"/>
          <w:szCs w:val="22"/>
        </w:rPr>
        <w:t xml:space="preserve"> of crossing a tipping point. </w:t>
      </w:r>
      <w:r w:rsidR="00AB5589" w:rsidRPr="00AF4C4C">
        <w:rPr>
          <w:rFonts w:ascii="Helvetica" w:hAnsi="Helvetica" w:cs="Helvetica Neue"/>
          <w:sz w:val="22"/>
          <w:szCs w:val="22"/>
        </w:rPr>
        <w:t>Industrial harvesters might also be less willing to invest in monitoring because the</w:t>
      </w:r>
      <w:r w:rsidR="00AB5589" w:rsidRPr="00940663">
        <w:rPr>
          <w:rFonts w:ascii="Helvetica" w:hAnsi="Helvetica" w:cs="Helvetica Neue"/>
          <w:sz w:val="22"/>
          <w:szCs w:val="22"/>
        </w:rPr>
        <w:t xml:space="preserv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w:t>
      </w:r>
      <w:r w:rsidR="00385903" w:rsidRPr="00940663">
        <w:rPr>
          <w:rFonts w:ascii="Helvetica" w:hAnsi="Helvetica" w:cs="Helvetica Neue"/>
          <w:sz w:val="22"/>
          <w:szCs w:val="22"/>
        </w:rPr>
        <w:lastRenderedPageBreak/>
        <w:t xml:space="preserve">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1378C2F4" w14:textId="77777777" w:rsidR="00EE4CEA" w:rsidRDefault="00EE4CEA" w:rsidP="00EE4CEA">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biological </w:t>
      </w:r>
      <w:r>
        <w:rPr>
          <w:rFonts w:ascii="Helvetica" w:hAnsi="Helvetica"/>
          <w:sz w:val="22"/>
          <w:szCs w:val="22"/>
        </w:rPr>
        <w:t>and management thresholds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biological tipping point does not exist but a management threshold does. Indeed, our model is makes global predictions about the increasing importance of monitoring information as a system approaches a management threshold. In systems with biological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process uncertainty (e.g.</w:t>
      </w:r>
      <w:r>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2000b)&lt;/DisplayText&gt;&lt;record&gt;&lt;rec-number&gt;8150&lt;/rec-number&gt;&lt;foreign-keys&gt;&lt;key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2000b)</w:t>
      </w:r>
      <w:r w:rsidRPr="00A96D69">
        <w:rPr>
          <w:rFonts w:ascii="Helvetica" w:hAnsi="Helvetica"/>
          <w:sz w:val="22"/>
          <w:szCs w:val="22"/>
        </w:rPr>
        <w:fldChar w:fldCharType="end"/>
      </w:r>
      <w:r w:rsidRPr="00A96D69">
        <w:rPr>
          <w:rFonts w:ascii="Helvetica" w:hAnsi="Helvetica"/>
          <w:sz w:val="22"/>
          <w:szCs w:val="22"/>
        </w:rPr>
        <w:t xml:space="preserve">. </w:t>
      </w:r>
      <w:r>
        <w:rPr>
          <w:rFonts w:ascii="Helvetica" w:hAnsi="Helvetica"/>
          <w:sz w:val="22"/>
          <w:szCs w:val="22"/>
        </w:rPr>
        <w:t xml:space="preserve">When it comes to management and conservation, there are clear opportunities to better incorporate tipping points into policy and management surrounding conservation and natural resource harvest </w:t>
      </w:r>
      <w:r>
        <w:rPr>
          <w:rFonts w:ascii="Helvetica" w:hAnsi="Helvetica" w:cs="Times New Roman"/>
          <w:iCs/>
          <w:sz w:val="22"/>
          <w:szCs w:val="22"/>
        </w:rPr>
        <w:fldChar w:fldCharType="begin"/>
      </w:r>
      <w:r>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Pr>
          <w:rFonts w:ascii="Helvetica" w:hAnsi="Helvetica" w:cs="Times New Roman"/>
          <w:iCs/>
          <w:sz w:val="22"/>
          <w:szCs w:val="22"/>
        </w:rPr>
        <w:fldChar w:fldCharType="separate"/>
      </w:r>
      <w:r>
        <w:rPr>
          <w:rFonts w:ascii="Helvetica" w:hAnsi="Helvetica" w:cs="Times New Roman"/>
          <w:iCs/>
          <w:noProof/>
          <w:sz w:val="22"/>
          <w:szCs w:val="22"/>
        </w:rPr>
        <w:t>(Lindenmayer</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2013; Kelly</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2015)</w:t>
      </w:r>
      <w:r>
        <w:rPr>
          <w:rFonts w:ascii="Helvetica" w:hAnsi="Helvetica" w:cs="Times New Roman"/>
          <w:iCs/>
          <w:sz w:val="22"/>
          <w:szCs w:val="22"/>
        </w:rPr>
        <w:fldChar w:fldCharType="end"/>
      </w:r>
      <w:r>
        <w:rPr>
          <w:rFonts w:ascii="Helvetica" w:hAnsi="Helvetica"/>
          <w:sz w:val="22"/>
          <w:szCs w:val="22"/>
        </w:rPr>
        <w:t>. Better t</w:t>
      </w:r>
      <w:r w:rsidRPr="00940663">
        <w:rPr>
          <w:rFonts w:ascii="Helvetica" w:hAnsi="Helvetica"/>
          <w:sz w:val="22"/>
          <w:szCs w:val="22"/>
        </w:rPr>
        <w:t>hreshold management</w:t>
      </w:r>
      <w:r>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Pr>
          <w:rFonts w:ascii="Helvetica" w:hAnsi="Helvetica"/>
          <w:sz w:val="22"/>
          <w:szCs w:val="22"/>
        </w:rPr>
        <w:t>,</w:t>
      </w:r>
      <w:r w:rsidRPr="00940663">
        <w:rPr>
          <w:rFonts w:ascii="Helvetica" w:hAnsi="Helvetica"/>
          <w:sz w:val="22"/>
          <w:szCs w:val="22"/>
        </w:rPr>
        <w:t xml:space="preserve"> as proposed above</w:t>
      </w:r>
      <w:r>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1C16C50" w14:textId="77777777" w:rsidR="00342681" w:rsidRDefault="00342681" w:rsidP="00342681">
      <w:pPr>
        <w:widowControl w:val="0"/>
        <w:autoSpaceDE w:val="0"/>
        <w:autoSpaceDN w:val="0"/>
        <w:adjustRightInd w:val="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05E36868" w14:textId="3BE3651B"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84632A7" w:rsidR="00C1536D" w:rsidRPr="00957F1F" w:rsidRDefault="007C7982">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39829194" w14:textId="77777777" w:rsidR="004739EB" w:rsidRPr="004739EB" w:rsidRDefault="006C170D" w:rsidP="004739EB">
      <w:pPr>
        <w:pStyle w:val="EndNoteBibliography"/>
        <w:ind w:left="720" w:hanging="720"/>
        <w:rPr>
          <w:noProof/>
        </w:rPr>
      </w:pPr>
      <w:r>
        <w:fldChar w:fldCharType="begin"/>
      </w:r>
      <w:r w:rsidR="00D106C7">
        <w:instrText xml:space="preserve"> ADDIN EN.REFLIST </w:instrText>
      </w:r>
      <w:r>
        <w:fldChar w:fldCharType="separate"/>
      </w:r>
      <w:r w:rsidR="004739EB" w:rsidRPr="004739EB">
        <w:rPr>
          <w:noProof/>
        </w:rPr>
        <w:t>1.</w:t>
      </w:r>
    </w:p>
    <w:p w14:paraId="6295B137" w14:textId="77777777" w:rsidR="004739EB" w:rsidRPr="004739EB" w:rsidRDefault="004739EB" w:rsidP="004739EB">
      <w:pPr>
        <w:pStyle w:val="EndNoteBibliography"/>
        <w:ind w:left="720" w:hanging="720"/>
        <w:rPr>
          <w:noProof/>
        </w:rPr>
      </w:pPr>
      <w:r w:rsidRPr="004739EB">
        <w:rPr>
          <w:noProof/>
        </w:rPr>
        <w:t xml:space="preserve">Addison, P.F.E., de Bie, K. &amp; Rumpff, L. (2015). Setting conservation management thresholds using a novel participatory modeling approach. </w:t>
      </w:r>
      <w:r w:rsidRPr="004739EB">
        <w:rPr>
          <w:i/>
          <w:noProof/>
        </w:rPr>
        <w:t>Conservation Biology</w:t>
      </w:r>
      <w:r w:rsidRPr="004739EB">
        <w:rPr>
          <w:noProof/>
        </w:rPr>
        <w:t>, 29, 1411-1422.</w:t>
      </w:r>
    </w:p>
    <w:p w14:paraId="10E15685" w14:textId="77777777" w:rsidR="004739EB" w:rsidRPr="004739EB" w:rsidRDefault="004739EB" w:rsidP="004739EB">
      <w:pPr>
        <w:pStyle w:val="EndNoteBibliography"/>
        <w:ind w:left="720" w:hanging="720"/>
        <w:rPr>
          <w:noProof/>
        </w:rPr>
      </w:pPr>
      <w:r w:rsidRPr="004739EB">
        <w:rPr>
          <w:noProof/>
        </w:rPr>
        <w:t>2.</w:t>
      </w:r>
    </w:p>
    <w:p w14:paraId="3293B3B0" w14:textId="77777777" w:rsidR="004739EB" w:rsidRPr="004739EB" w:rsidRDefault="004739EB" w:rsidP="004739EB">
      <w:pPr>
        <w:pStyle w:val="EndNoteBibliography"/>
        <w:ind w:left="720" w:hanging="720"/>
        <w:rPr>
          <w:noProof/>
        </w:rPr>
      </w:pPr>
      <w:r w:rsidRPr="004739EB">
        <w:rPr>
          <w:noProof/>
        </w:rPr>
        <w:t xml:space="preserve">Boettiger, C., Mangel, M. &amp; Munch, S. (2015). Avoiding tipping points in fisheries management through Gaussian process dynamic programming. </w:t>
      </w:r>
      <w:r w:rsidRPr="004739EB">
        <w:rPr>
          <w:i/>
          <w:noProof/>
        </w:rPr>
        <w:t>Proceedings of the Royal Society of London B: Biological Sciences</w:t>
      </w:r>
      <w:r w:rsidRPr="004739EB">
        <w:rPr>
          <w:noProof/>
        </w:rPr>
        <w:t>, 282, 20141631.</w:t>
      </w:r>
    </w:p>
    <w:p w14:paraId="17F66FDE" w14:textId="77777777" w:rsidR="004739EB" w:rsidRPr="004739EB" w:rsidRDefault="004739EB" w:rsidP="004739EB">
      <w:pPr>
        <w:pStyle w:val="EndNoteBibliography"/>
        <w:ind w:left="720" w:hanging="720"/>
        <w:rPr>
          <w:noProof/>
        </w:rPr>
      </w:pPr>
      <w:r w:rsidRPr="004739EB">
        <w:rPr>
          <w:noProof/>
        </w:rPr>
        <w:t>3.</w:t>
      </w:r>
    </w:p>
    <w:p w14:paraId="6A5CDC36" w14:textId="77777777" w:rsidR="004739EB" w:rsidRPr="004739EB" w:rsidRDefault="004739EB" w:rsidP="004739EB">
      <w:pPr>
        <w:pStyle w:val="EndNoteBibliography"/>
        <w:ind w:left="720" w:hanging="720"/>
        <w:rPr>
          <w:noProof/>
        </w:rPr>
      </w:pPr>
      <w:r w:rsidRPr="004739EB">
        <w:rPr>
          <w:noProof/>
        </w:rPr>
        <w:t xml:space="preserve">Bunnefeld, N., Hoshino, E. &amp; Milner-Gulland, E.J. (2011). Management strategy evaluation: a powerful tool for conservation? </w:t>
      </w:r>
      <w:r w:rsidRPr="004739EB">
        <w:rPr>
          <w:i/>
          <w:noProof/>
        </w:rPr>
        <w:t>Trends in Ecology &amp; Evolution</w:t>
      </w:r>
      <w:r w:rsidRPr="004739EB">
        <w:rPr>
          <w:noProof/>
        </w:rPr>
        <w:t>, 26, 441-447.</w:t>
      </w:r>
    </w:p>
    <w:p w14:paraId="48E1FD78" w14:textId="77777777" w:rsidR="004739EB" w:rsidRPr="004739EB" w:rsidRDefault="004739EB" w:rsidP="004739EB">
      <w:pPr>
        <w:pStyle w:val="EndNoteBibliography"/>
        <w:ind w:left="720" w:hanging="720"/>
        <w:rPr>
          <w:noProof/>
        </w:rPr>
      </w:pPr>
      <w:r w:rsidRPr="004739EB">
        <w:rPr>
          <w:noProof/>
        </w:rPr>
        <w:t>4.</w:t>
      </w:r>
    </w:p>
    <w:p w14:paraId="30E0A21B" w14:textId="77777777" w:rsidR="004739EB" w:rsidRPr="004739EB" w:rsidRDefault="004739EB" w:rsidP="004739EB">
      <w:pPr>
        <w:pStyle w:val="EndNoteBibliography"/>
        <w:ind w:left="720" w:hanging="720"/>
        <w:rPr>
          <w:noProof/>
        </w:rPr>
      </w:pPr>
      <w:r w:rsidRPr="004739EB">
        <w:rPr>
          <w:noProof/>
        </w:rPr>
        <w:t xml:space="preserve">Chadès, I., McDonald-Madden, E., McCarthy, M.A., Wintle, B., Linkie, M. &amp; Possingham, H.P. (2008). When to stop managing or surveying cryptic threatened species. </w:t>
      </w:r>
      <w:r w:rsidRPr="004739EB">
        <w:rPr>
          <w:i/>
          <w:noProof/>
        </w:rPr>
        <w:t>Proceedings of the National Academy of Sciences</w:t>
      </w:r>
      <w:r w:rsidRPr="004739EB">
        <w:rPr>
          <w:noProof/>
        </w:rPr>
        <w:t>, 105, 13936-13940.</w:t>
      </w:r>
    </w:p>
    <w:p w14:paraId="09094BED" w14:textId="77777777" w:rsidR="004739EB" w:rsidRPr="004739EB" w:rsidRDefault="004739EB" w:rsidP="004739EB">
      <w:pPr>
        <w:pStyle w:val="EndNoteBibliography"/>
        <w:ind w:left="720" w:hanging="720"/>
        <w:rPr>
          <w:noProof/>
        </w:rPr>
      </w:pPr>
      <w:r w:rsidRPr="004739EB">
        <w:rPr>
          <w:noProof/>
        </w:rPr>
        <w:t>5.</w:t>
      </w:r>
    </w:p>
    <w:p w14:paraId="102D980A" w14:textId="77777777" w:rsidR="004739EB" w:rsidRPr="004739EB" w:rsidRDefault="004739EB" w:rsidP="004739EB">
      <w:pPr>
        <w:pStyle w:val="EndNoteBibliography"/>
        <w:ind w:left="720" w:hanging="720"/>
        <w:rPr>
          <w:noProof/>
        </w:rPr>
      </w:pPr>
      <w:r w:rsidRPr="004739EB">
        <w:rPr>
          <w:noProof/>
        </w:rPr>
        <w:t xml:space="preserve">Cinner, J., Daw, T. &amp; McClanahan, T. (2009). Socioeconomic factors that affect artisanal fishers’ readiness to exit a declining fishery. </w:t>
      </w:r>
      <w:r w:rsidRPr="004739EB">
        <w:rPr>
          <w:i/>
          <w:noProof/>
        </w:rPr>
        <w:t>Conservation Biology</w:t>
      </w:r>
      <w:r w:rsidRPr="004739EB">
        <w:rPr>
          <w:noProof/>
        </w:rPr>
        <w:t>, 23, 124-130.</w:t>
      </w:r>
    </w:p>
    <w:p w14:paraId="51009522" w14:textId="77777777" w:rsidR="004739EB" w:rsidRPr="004739EB" w:rsidRDefault="004739EB" w:rsidP="004739EB">
      <w:pPr>
        <w:pStyle w:val="EndNoteBibliography"/>
        <w:ind w:left="720" w:hanging="720"/>
        <w:rPr>
          <w:noProof/>
        </w:rPr>
      </w:pPr>
      <w:r w:rsidRPr="004739EB">
        <w:rPr>
          <w:noProof/>
        </w:rPr>
        <w:t>6.</w:t>
      </w:r>
    </w:p>
    <w:p w14:paraId="036B31AD" w14:textId="77777777" w:rsidR="004739EB" w:rsidRPr="004739EB" w:rsidRDefault="004739EB" w:rsidP="004739EB">
      <w:pPr>
        <w:pStyle w:val="EndNoteBibliography"/>
        <w:ind w:left="720" w:hanging="720"/>
        <w:rPr>
          <w:noProof/>
        </w:rPr>
      </w:pPr>
      <w:r w:rsidRPr="004739EB">
        <w:rPr>
          <w:noProof/>
        </w:rPr>
        <w:t>Cleary, J.S. (2014). Stock assessment and management advice for British Columbia pacific herring: 2013 Status and 2014 forecast. Canadian Science Advisory Science Scretariate.</w:t>
      </w:r>
    </w:p>
    <w:p w14:paraId="1385CE5B" w14:textId="77777777" w:rsidR="004739EB" w:rsidRPr="004739EB" w:rsidRDefault="004739EB" w:rsidP="004739EB">
      <w:pPr>
        <w:pStyle w:val="EndNoteBibliography"/>
        <w:ind w:left="720" w:hanging="720"/>
        <w:rPr>
          <w:noProof/>
        </w:rPr>
      </w:pPr>
      <w:r w:rsidRPr="004739EB">
        <w:rPr>
          <w:noProof/>
        </w:rPr>
        <w:t>7.</w:t>
      </w:r>
    </w:p>
    <w:p w14:paraId="1897EBBE" w14:textId="77777777" w:rsidR="004739EB" w:rsidRPr="004739EB" w:rsidRDefault="004739EB" w:rsidP="004739EB">
      <w:pPr>
        <w:pStyle w:val="EndNoteBibliography"/>
        <w:ind w:left="720" w:hanging="720"/>
        <w:rPr>
          <w:noProof/>
        </w:rPr>
      </w:pPr>
      <w:r w:rsidRPr="004739EB">
        <w:rPr>
          <w:noProof/>
        </w:rPr>
        <w:t xml:space="preserve">Courchamp, F., Berec, L. &amp; Gascoigne, J. (2008). </w:t>
      </w:r>
      <w:r w:rsidRPr="004739EB">
        <w:rPr>
          <w:i/>
          <w:noProof/>
        </w:rPr>
        <w:t>Allee effects in ecology and conservation</w:t>
      </w:r>
      <w:r w:rsidRPr="004739EB">
        <w:rPr>
          <w:noProof/>
        </w:rPr>
        <w:t>. Oxford University Press, New York.</w:t>
      </w:r>
    </w:p>
    <w:p w14:paraId="66A7CE07" w14:textId="77777777" w:rsidR="004739EB" w:rsidRPr="004739EB" w:rsidRDefault="004739EB" w:rsidP="004739EB">
      <w:pPr>
        <w:pStyle w:val="EndNoteBibliography"/>
        <w:ind w:left="720" w:hanging="720"/>
        <w:rPr>
          <w:noProof/>
        </w:rPr>
      </w:pPr>
      <w:r w:rsidRPr="004739EB">
        <w:rPr>
          <w:noProof/>
        </w:rPr>
        <w:t>8.</w:t>
      </w:r>
    </w:p>
    <w:p w14:paraId="2F1A0227" w14:textId="77777777" w:rsidR="004739EB" w:rsidRPr="004739EB" w:rsidRDefault="004739EB" w:rsidP="004739EB">
      <w:pPr>
        <w:pStyle w:val="EndNoteBibliography"/>
        <w:ind w:left="720" w:hanging="720"/>
        <w:rPr>
          <w:noProof/>
        </w:rPr>
      </w:pPr>
      <w:r w:rsidRPr="004739EB">
        <w:rPr>
          <w:noProof/>
        </w:rPr>
        <w:t>Doak, D.F., Estes, J.A., Halpern, B.S., Jacob, U., Lindberg, D.R., Lovvorn, J.</w:t>
      </w:r>
      <w:r w:rsidRPr="004739EB">
        <w:rPr>
          <w:i/>
          <w:noProof/>
        </w:rPr>
        <w:t xml:space="preserve"> et al.</w:t>
      </w:r>
      <w:r w:rsidRPr="004739EB">
        <w:rPr>
          <w:noProof/>
        </w:rPr>
        <w:t xml:space="preserve"> (2008). Understanding and predicting ecological dynamics: are major surprises inevitable. </w:t>
      </w:r>
      <w:r w:rsidRPr="004739EB">
        <w:rPr>
          <w:i/>
          <w:noProof/>
        </w:rPr>
        <w:t>Ecology</w:t>
      </w:r>
      <w:r w:rsidRPr="004739EB">
        <w:rPr>
          <w:noProof/>
        </w:rPr>
        <w:t>, 89, 952-961.</w:t>
      </w:r>
    </w:p>
    <w:p w14:paraId="62B96AF3" w14:textId="77777777" w:rsidR="004739EB" w:rsidRPr="004739EB" w:rsidRDefault="004739EB" w:rsidP="004739EB">
      <w:pPr>
        <w:pStyle w:val="EndNoteBibliography"/>
        <w:ind w:left="720" w:hanging="720"/>
        <w:rPr>
          <w:noProof/>
        </w:rPr>
      </w:pPr>
      <w:r w:rsidRPr="004739EB">
        <w:rPr>
          <w:noProof/>
        </w:rPr>
        <w:t>9.</w:t>
      </w:r>
    </w:p>
    <w:p w14:paraId="71969B19" w14:textId="77777777" w:rsidR="004739EB" w:rsidRPr="004739EB" w:rsidRDefault="004739EB" w:rsidP="004739EB">
      <w:pPr>
        <w:pStyle w:val="EndNoteBibliography"/>
        <w:ind w:left="720" w:hanging="720"/>
        <w:rPr>
          <w:noProof/>
        </w:rPr>
      </w:pPr>
      <w:r w:rsidRPr="004739EB">
        <w:rPr>
          <w:noProof/>
        </w:rPr>
        <w:t>Folke, C., Carpenter, S., Walker, B., Scheffer, M., Elmqvist, T., Gunderson, L.</w:t>
      </w:r>
      <w:r w:rsidRPr="004739EB">
        <w:rPr>
          <w:i/>
          <w:noProof/>
        </w:rPr>
        <w:t xml:space="preserve"> et al.</w:t>
      </w:r>
      <w:r w:rsidRPr="004739EB">
        <w:rPr>
          <w:noProof/>
        </w:rPr>
        <w:t xml:space="preserve"> (2004). Regime shifts, resilience, and biodiversity in ecosystem management. </w:t>
      </w:r>
      <w:r w:rsidRPr="004739EB">
        <w:rPr>
          <w:i/>
          <w:noProof/>
        </w:rPr>
        <w:t>Annu. Rev. Ecol. Evol. Syst.</w:t>
      </w:r>
      <w:r w:rsidRPr="004739EB">
        <w:rPr>
          <w:noProof/>
        </w:rPr>
        <w:t>, 35, 557-581.</w:t>
      </w:r>
    </w:p>
    <w:p w14:paraId="6DB220D1" w14:textId="77777777" w:rsidR="004739EB" w:rsidRPr="004739EB" w:rsidRDefault="004739EB" w:rsidP="004739EB">
      <w:pPr>
        <w:pStyle w:val="EndNoteBibliography"/>
        <w:ind w:left="720" w:hanging="720"/>
        <w:rPr>
          <w:noProof/>
        </w:rPr>
      </w:pPr>
      <w:r w:rsidRPr="004739EB">
        <w:rPr>
          <w:noProof/>
        </w:rPr>
        <w:t>10.</w:t>
      </w:r>
    </w:p>
    <w:p w14:paraId="63CF64F2" w14:textId="77777777" w:rsidR="004739EB" w:rsidRPr="004739EB" w:rsidRDefault="004739EB" w:rsidP="004739EB">
      <w:pPr>
        <w:pStyle w:val="EndNoteBibliography"/>
        <w:ind w:left="720" w:hanging="720"/>
        <w:rPr>
          <w:noProof/>
        </w:rPr>
      </w:pPr>
      <w:r w:rsidRPr="004739EB">
        <w:rPr>
          <w:noProof/>
        </w:rPr>
        <w:t xml:space="preserve">Fuller, M.M., Gross, L.J., Duke-Sylvester, S.M. &amp; Palmer, M. (2008). Testing the robustness of management decisions to uncertainty: Everglades restoration scenarios. </w:t>
      </w:r>
      <w:r w:rsidRPr="004739EB">
        <w:rPr>
          <w:i/>
          <w:noProof/>
        </w:rPr>
        <w:t>Ecological Applications</w:t>
      </w:r>
      <w:r w:rsidRPr="004739EB">
        <w:rPr>
          <w:noProof/>
        </w:rPr>
        <w:t>, 18, 711-723.</w:t>
      </w:r>
    </w:p>
    <w:p w14:paraId="5F03F33F" w14:textId="77777777" w:rsidR="004739EB" w:rsidRPr="004739EB" w:rsidRDefault="004739EB" w:rsidP="004739EB">
      <w:pPr>
        <w:pStyle w:val="EndNoteBibliography"/>
        <w:ind w:left="720" w:hanging="720"/>
        <w:rPr>
          <w:noProof/>
        </w:rPr>
      </w:pPr>
      <w:r w:rsidRPr="004739EB">
        <w:rPr>
          <w:noProof/>
        </w:rPr>
        <w:t>11.</w:t>
      </w:r>
    </w:p>
    <w:p w14:paraId="29CEF16C" w14:textId="77777777" w:rsidR="004739EB" w:rsidRPr="004739EB" w:rsidRDefault="004739EB" w:rsidP="004739EB">
      <w:pPr>
        <w:pStyle w:val="EndNoteBibliography"/>
        <w:ind w:left="720" w:hanging="720"/>
        <w:rPr>
          <w:noProof/>
        </w:rPr>
      </w:pPr>
      <w:r w:rsidRPr="004739EB">
        <w:rPr>
          <w:noProof/>
        </w:rPr>
        <w:t xml:space="preserve">Gordon, H.S. (1991). The economic theory of a common-property resource: the fishery. </w:t>
      </w:r>
      <w:r w:rsidRPr="004739EB">
        <w:rPr>
          <w:i/>
          <w:noProof/>
        </w:rPr>
        <w:t>Bulletin of Mathematical Biology</w:t>
      </w:r>
      <w:r w:rsidRPr="004739EB">
        <w:rPr>
          <w:noProof/>
        </w:rPr>
        <w:t>, 53, 231-252.</w:t>
      </w:r>
    </w:p>
    <w:p w14:paraId="2DB09035" w14:textId="77777777" w:rsidR="004739EB" w:rsidRPr="004739EB" w:rsidRDefault="004739EB" w:rsidP="004739EB">
      <w:pPr>
        <w:pStyle w:val="EndNoteBibliography"/>
        <w:ind w:left="720" w:hanging="720"/>
        <w:rPr>
          <w:noProof/>
        </w:rPr>
      </w:pPr>
      <w:r w:rsidRPr="004739EB">
        <w:rPr>
          <w:noProof/>
        </w:rPr>
        <w:t>12.</w:t>
      </w:r>
    </w:p>
    <w:p w14:paraId="2DD19D03" w14:textId="77777777" w:rsidR="004739EB" w:rsidRPr="004739EB" w:rsidRDefault="004739EB" w:rsidP="004739EB">
      <w:pPr>
        <w:pStyle w:val="EndNoteBibliography"/>
        <w:ind w:left="720" w:hanging="720"/>
        <w:rPr>
          <w:noProof/>
        </w:rPr>
      </w:pPr>
      <w:r w:rsidRPr="004739EB">
        <w:rPr>
          <w:noProof/>
        </w:rPr>
        <w:t xml:space="preserve">Griffith, D.R. (2008). The ecological implications of individual fishing quotas and harvest cooperatives. </w:t>
      </w:r>
      <w:r w:rsidRPr="004739EB">
        <w:rPr>
          <w:i/>
          <w:noProof/>
        </w:rPr>
        <w:t>Frontiers in Ecology and the Environment</w:t>
      </w:r>
      <w:r w:rsidRPr="004739EB">
        <w:rPr>
          <w:noProof/>
        </w:rPr>
        <w:t>, 6, 191-198.</w:t>
      </w:r>
    </w:p>
    <w:p w14:paraId="44B6698C" w14:textId="77777777" w:rsidR="004739EB" w:rsidRPr="004739EB" w:rsidRDefault="004739EB" w:rsidP="004739EB">
      <w:pPr>
        <w:pStyle w:val="EndNoteBibliography"/>
        <w:ind w:left="720" w:hanging="720"/>
        <w:rPr>
          <w:noProof/>
        </w:rPr>
      </w:pPr>
      <w:r w:rsidRPr="004739EB">
        <w:rPr>
          <w:noProof/>
        </w:rPr>
        <w:t>13.</w:t>
      </w:r>
    </w:p>
    <w:p w14:paraId="08ED7495" w14:textId="77777777" w:rsidR="004739EB" w:rsidRPr="004739EB" w:rsidRDefault="004739EB" w:rsidP="004739EB">
      <w:pPr>
        <w:pStyle w:val="EndNoteBibliography"/>
        <w:ind w:left="720" w:hanging="720"/>
        <w:rPr>
          <w:noProof/>
        </w:rPr>
      </w:pPr>
      <w:r w:rsidRPr="004739EB">
        <w:rPr>
          <w:noProof/>
        </w:rPr>
        <w:lastRenderedPageBreak/>
        <w:t xml:space="preserve">Higgins, P.A., Mastrandrea, M.D. &amp; Schneider, S.H. (2002). Dynamics of climate and ecosystem coupling: abrupt changes and multiple equilibria. </w:t>
      </w:r>
      <w:r w:rsidRPr="004739EB">
        <w:rPr>
          <w:i/>
          <w:noProof/>
        </w:rPr>
        <w:t>Philisophical Transactions - Royal Society of London Series B Biological Sciences</w:t>
      </w:r>
      <w:r w:rsidRPr="004739EB">
        <w:rPr>
          <w:noProof/>
        </w:rPr>
        <w:t>, 357, 647-656.</w:t>
      </w:r>
    </w:p>
    <w:p w14:paraId="08269D89" w14:textId="77777777" w:rsidR="004739EB" w:rsidRPr="004739EB" w:rsidRDefault="004739EB" w:rsidP="004739EB">
      <w:pPr>
        <w:pStyle w:val="EndNoteBibliography"/>
        <w:ind w:left="720" w:hanging="720"/>
        <w:rPr>
          <w:noProof/>
        </w:rPr>
      </w:pPr>
      <w:r w:rsidRPr="004739EB">
        <w:rPr>
          <w:noProof/>
        </w:rPr>
        <w:t>14.</w:t>
      </w:r>
    </w:p>
    <w:p w14:paraId="5738C39E" w14:textId="77777777" w:rsidR="004739EB" w:rsidRPr="004739EB" w:rsidRDefault="004739EB" w:rsidP="004739EB">
      <w:pPr>
        <w:pStyle w:val="EndNoteBibliography"/>
        <w:ind w:left="720" w:hanging="720"/>
        <w:rPr>
          <w:noProof/>
        </w:rPr>
      </w:pPr>
      <w:r w:rsidRPr="004739EB">
        <w:rPr>
          <w:noProof/>
        </w:rPr>
        <w:t xml:space="preserve">Hilborn, R., Maguire, J.-J., Parma, A.M. &amp; Rosenberg, A.A. (2001). The Precautionary Approach and risk management: can they increase the probability of successes in fishery management? </w:t>
      </w:r>
      <w:r w:rsidRPr="004739EB">
        <w:rPr>
          <w:i/>
          <w:noProof/>
        </w:rPr>
        <w:t>Canadian Journal of Fisheries and Aquatic Sciences</w:t>
      </w:r>
      <w:r w:rsidRPr="004739EB">
        <w:rPr>
          <w:noProof/>
        </w:rPr>
        <w:t>, 58, 99-107.</w:t>
      </w:r>
    </w:p>
    <w:p w14:paraId="42AB2A51" w14:textId="77777777" w:rsidR="004739EB" w:rsidRPr="004739EB" w:rsidRDefault="004739EB" w:rsidP="004739EB">
      <w:pPr>
        <w:pStyle w:val="EndNoteBibliography"/>
        <w:ind w:left="720" w:hanging="720"/>
        <w:rPr>
          <w:noProof/>
        </w:rPr>
      </w:pPr>
      <w:r w:rsidRPr="004739EB">
        <w:rPr>
          <w:noProof/>
        </w:rPr>
        <w:t>15.</w:t>
      </w:r>
    </w:p>
    <w:p w14:paraId="4C12902C" w14:textId="77777777" w:rsidR="004739EB" w:rsidRPr="004739EB" w:rsidRDefault="004739EB" w:rsidP="004739EB">
      <w:pPr>
        <w:pStyle w:val="EndNoteBibliography"/>
        <w:ind w:left="720" w:hanging="720"/>
        <w:rPr>
          <w:noProof/>
        </w:rPr>
      </w:pPr>
      <w:r w:rsidRPr="004739EB">
        <w:rPr>
          <w:noProof/>
        </w:rPr>
        <w:t xml:space="preserve">Hilborn, R., Orensanz, J.L. &amp; Parma, A.M. (2005). Institutions, incentives and the future of fisheries. </w:t>
      </w:r>
      <w:r w:rsidRPr="004739EB">
        <w:rPr>
          <w:i/>
          <w:noProof/>
        </w:rPr>
        <w:t>Philosophical Transactions of the Royal Society B: Biological Sciences</w:t>
      </w:r>
      <w:r w:rsidRPr="004739EB">
        <w:rPr>
          <w:noProof/>
        </w:rPr>
        <w:t>, 360, 47-57.</w:t>
      </w:r>
    </w:p>
    <w:p w14:paraId="31B7BAE8" w14:textId="77777777" w:rsidR="004739EB" w:rsidRPr="004739EB" w:rsidRDefault="004739EB" w:rsidP="004739EB">
      <w:pPr>
        <w:pStyle w:val="EndNoteBibliography"/>
        <w:ind w:left="720" w:hanging="720"/>
        <w:rPr>
          <w:noProof/>
        </w:rPr>
      </w:pPr>
      <w:r w:rsidRPr="004739EB">
        <w:rPr>
          <w:noProof/>
        </w:rPr>
        <w:t>16.</w:t>
      </w:r>
    </w:p>
    <w:p w14:paraId="7C31D74C" w14:textId="77777777" w:rsidR="004739EB" w:rsidRPr="004739EB" w:rsidRDefault="004739EB" w:rsidP="004739EB">
      <w:pPr>
        <w:pStyle w:val="EndNoteBibliography"/>
        <w:ind w:left="720" w:hanging="720"/>
        <w:rPr>
          <w:noProof/>
        </w:rPr>
      </w:pPr>
      <w:r w:rsidRPr="004739EB">
        <w:rPr>
          <w:noProof/>
        </w:rPr>
        <w:t xml:space="preserve">Hölmstrom, B. (1979). Moral hazard and observability. </w:t>
      </w:r>
      <w:r w:rsidRPr="004739EB">
        <w:rPr>
          <w:i/>
          <w:noProof/>
        </w:rPr>
        <w:t>The Bell journal of economics</w:t>
      </w:r>
      <w:r w:rsidRPr="004739EB">
        <w:rPr>
          <w:noProof/>
        </w:rPr>
        <w:t>, 74-91.</w:t>
      </w:r>
    </w:p>
    <w:p w14:paraId="4A883872" w14:textId="77777777" w:rsidR="004739EB" w:rsidRPr="004739EB" w:rsidRDefault="004739EB" w:rsidP="004739EB">
      <w:pPr>
        <w:pStyle w:val="EndNoteBibliography"/>
        <w:ind w:left="720" w:hanging="720"/>
        <w:rPr>
          <w:noProof/>
        </w:rPr>
      </w:pPr>
      <w:r w:rsidRPr="004739EB">
        <w:rPr>
          <w:noProof/>
        </w:rPr>
        <w:t>17.</w:t>
      </w:r>
    </w:p>
    <w:p w14:paraId="578181B5" w14:textId="77777777" w:rsidR="004739EB" w:rsidRPr="004739EB" w:rsidRDefault="004739EB" w:rsidP="004739EB">
      <w:pPr>
        <w:pStyle w:val="EndNoteBibliography"/>
        <w:ind w:left="720" w:hanging="720"/>
        <w:rPr>
          <w:noProof/>
        </w:rPr>
      </w:pPr>
      <w:r w:rsidRPr="004739EB">
        <w:rPr>
          <w:noProof/>
        </w:rPr>
        <w:t>Kates, R.W., Clark, W.C., Corell, R., Hall, J.M., Jaeger, C.C., Lowe, I.</w:t>
      </w:r>
      <w:r w:rsidRPr="004739EB">
        <w:rPr>
          <w:i/>
          <w:noProof/>
        </w:rPr>
        <w:t xml:space="preserve"> et al.</w:t>
      </w:r>
      <w:r w:rsidRPr="004739EB">
        <w:rPr>
          <w:noProof/>
        </w:rPr>
        <w:t xml:space="preserve"> (2001). Sustainability Science. </w:t>
      </w:r>
      <w:r w:rsidRPr="004739EB">
        <w:rPr>
          <w:i/>
          <w:noProof/>
        </w:rPr>
        <w:t>Science</w:t>
      </w:r>
      <w:r w:rsidRPr="004739EB">
        <w:rPr>
          <w:noProof/>
        </w:rPr>
        <w:t>, 292, 641-642.</w:t>
      </w:r>
    </w:p>
    <w:p w14:paraId="7A02BA70" w14:textId="77777777" w:rsidR="004739EB" w:rsidRPr="004739EB" w:rsidRDefault="004739EB" w:rsidP="004739EB">
      <w:pPr>
        <w:pStyle w:val="EndNoteBibliography"/>
        <w:ind w:left="720" w:hanging="720"/>
        <w:rPr>
          <w:noProof/>
        </w:rPr>
      </w:pPr>
      <w:r w:rsidRPr="004739EB">
        <w:rPr>
          <w:noProof/>
        </w:rPr>
        <w:t>18.</w:t>
      </w:r>
    </w:p>
    <w:p w14:paraId="1E3F9DD8" w14:textId="77777777" w:rsidR="004739EB" w:rsidRPr="004739EB" w:rsidRDefault="004739EB" w:rsidP="004739EB">
      <w:pPr>
        <w:pStyle w:val="EndNoteBibliography"/>
        <w:ind w:left="720" w:hanging="720"/>
        <w:rPr>
          <w:noProof/>
        </w:rPr>
      </w:pPr>
      <w:r w:rsidRPr="004739EB">
        <w:rPr>
          <w:noProof/>
        </w:rPr>
        <w:t xml:space="preserve">Kelly, R.P., Erickson, A.L., Mease, L.A., Battista, W., Kittinger, J.N. &amp; Fujita, R. (2015). Embracing thresholds for better environmental management. </w:t>
      </w:r>
      <w:r w:rsidRPr="004739EB">
        <w:rPr>
          <w:i/>
          <w:noProof/>
        </w:rPr>
        <w:t>Philosophical Transactions of the Royal Society of London B: Biological Sciences</w:t>
      </w:r>
      <w:r w:rsidRPr="004739EB">
        <w:rPr>
          <w:noProof/>
        </w:rPr>
        <w:t>, 370, 20130276.</w:t>
      </w:r>
    </w:p>
    <w:p w14:paraId="070DEF47" w14:textId="77777777" w:rsidR="004739EB" w:rsidRPr="004739EB" w:rsidRDefault="004739EB" w:rsidP="004739EB">
      <w:pPr>
        <w:pStyle w:val="EndNoteBibliography"/>
        <w:ind w:left="720" w:hanging="720"/>
        <w:rPr>
          <w:noProof/>
        </w:rPr>
      </w:pPr>
      <w:r w:rsidRPr="004739EB">
        <w:rPr>
          <w:noProof/>
        </w:rPr>
        <w:t>19.</w:t>
      </w:r>
    </w:p>
    <w:p w14:paraId="25E6D5A4" w14:textId="77777777" w:rsidR="004739EB" w:rsidRPr="004739EB" w:rsidRDefault="004739EB" w:rsidP="004739EB">
      <w:pPr>
        <w:pStyle w:val="EndNoteBibliography"/>
        <w:ind w:left="720" w:hanging="720"/>
        <w:rPr>
          <w:noProof/>
        </w:rPr>
      </w:pPr>
      <w:r w:rsidRPr="004739EB">
        <w:rPr>
          <w:noProof/>
        </w:rPr>
        <w:t xml:space="preserve">Lindenmayer, D.B., Piggott, M.P. &amp; Wintle, B.A. (2013). Counting the books while the library burns: why conservation monitoring programs need a plan for action. </w:t>
      </w:r>
      <w:r w:rsidRPr="004739EB">
        <w:rPr>
          <w:i/>
          <w:noProof/>
        </w:rPr>
        <w:t>Frontiers in Ecology and the Environment</w:t>
      </w:r>
      <w:r w:rsidRPr="004739EB">
        <w:rPr>
          <w:noProof/>
        </w:rPr>
        <w:t>, 11, 549-555.</w:t>
      </w:r>
    </w:p>
    <w:p w14:paraId="1C7066EB" w14:textId="77777777" w:rsidR="004739EB" w:rsidRPr="004739EB" w:rsidRDefault="004739EB" w:rsidP="004739EB">
      <w:pPr>
        <w:pStyle w:val="EndNoteBibliography"/>
        <w:ind w:left="720" w:hanging="720"/>
        <w:rPr>
          <w:noProof/>
        </w:rPr>
      </w:pPr>
      <w:r w:rsidRPr="004739EB">
        <w:rPr>
          <w:noProof/>
        </w:rPr>
        <w:t>20.</w:t>
      </w:r>
    </w:p>
    <w:p w14:paraId="0529A89E" w14:textId="77777777" w:rsidR="004739EB" w:rsidRPr="004739EB" w:rsidRDefault="004739EB" w:rsidP="004739EB">
      <w:pPr>
        <w:pStyle w:val="EndNoteBibliography"/>
        <w:ind w:left="720" w:hanging="720"/>
        <w:rPr>
          <w:noProof/>
        </w:rPr>
      </w:pPr>
      <w:r w:rsidRPr="004739EB">
        <w:rPr>
          <w:noProof/>
        </w:rPr>
        <w:t xml:space="preserve">Ludwig, D., Hilborn, R. &amp; Walters, C. (1993). Uncertainty, resource exploitation, and conservation: lessons from history. </w:t>
      </w:r>
      <w:r w:rsidRPr="004739EB">
        <w:rPr>
          <w:i/>
          <w:noProof/>
        </w:rPr>
        <w:t>Science</w:t>
      </w:r>
      <w:r w:rsidRPr="004739EB">
        <w:rPr>
          <w:noProof/>
        </w:rPr>
        <w:t>, 260, 17.</w:t>
      </w:r>
    </w:p>
    <w:p w14:paraId="01966B41" w14:textId="77777777" w:rsidR="004739EB" w:rsidRPr="004739EB" w:rsidRDefault="004739EB" w:rsidP="004739EB">
      <w:pPr>
        <w:pStyle w:val="EndNoteBibliography"/>
        <w:ind w:left="720" w:hanging="720"/>
        <w:rPr>
          <w:noProof/>
        </w:rPr>
      </w:pPr>
      <w:r w:rsidRPr="004739EB">
        <w:rPr>
          <w:noProof/>
        </w:rPr>
        <w:t>21.</w:t>
      </w:r>
    </w:p>
    <w:p w14:paraId="14809E32" w14:textId="77777777" w:rsidR="004739EB" w:rsidRPr="004739EB" w:rsidRDefault="004739EB" w:rsidP="004739EB">
      <w:pPr>
        <w:pStyle w:val="EndNoteBibliography"/>
        <w:ind w:left="720" w:hanging="720"/>
        <w:rPr>
          <w:noProof/>
        </w:rPr>
      </w:pPr>
      <w:r w:rsidRPr="004739EB">
        <w:rPr>
          <w:noProof/>
        </w:rPr>
        <w:t xml:space="preserve">Mangel, M. (2000a). Irreducible uncertainties, sustainable fisheries and marine reserves. </w:t>
      </w:r>
      <w:r w:rsidRPr="004739EB">
        <w:rPr>
          <w:i/>
          <w:noProof/>
        </w:rPr>
        <w:t>Evolutionary Ecology Research</w:t>
      </w:r>
      <w:r w:rsidRPr="004739EB">
        <w:rPr>
          <w:noProof/>
        </w:rPr>
        <w:t>, 2, 547-557.</w:t>
      </w:r>
    </w:p>
    <w:p w14:paraId="6151D584" w14:textId="77777777" w:rsidR="004739EB" w:rsidRPr="004739EB" w:rsidRDefault="004739EB" w:rsidP="004739EB">
      <w:pPr>
        <w:pStyle w:val="EndNoteBibliography"/>
        <w:ind w:left="720" w:hanging="720"/>
        <w:rPr>
          <w:noProof/>
        </w:rPr>
      </w:pPr>
      <w:r w:rsidRPr="004739EB">
        <w:rPr>
          <w:noProof/>
        </w:rPr>
        <w:t>22.</w:t>
      </w:r>
    </w:p>
    <w:p w14:paraId="0CD752A3" w14:textId="77777777" w:rsidR="004739EB" w:rsidRPr="004739EB" w:rsidRDefault="004739EB" w:rsidP="004739EB">
      <w:pPr>
        <w:pStyle w:val="EndNoteBibliography"/>
        <w:ind w:left="720" w:hanging="720"/>
        <w:rPr>
          <w:noProof/>
        </w:rPr>
      </w:pPr>
      <w:r w:rsidRPr="004739EB">
        <w:rPr>
          <w:noProof/>
        </w:rPr>
        <w:t xml:space="preserve">Mangel, M. (2000b). Irreducible uncertainties, sustainable fisheries and marine reserves. </w:t>
      </w:r>
      <w:r w:rsidRPr="004739EB">
        <w:rPr>
          <w:i/>
          <w:noProof/>
        </w:rPr>
        <w:t>Evolutionary Ecology Research</w:t>
      </w:r>
      <w:r w:rsidRPr="004739EB">
        <w:rPr>
          <w:noProof/>
        </w:rPr>
        <w:t>, 2, 547-557.</w:t>
      </w:r>
    </w:p>
    <w:p w14:paraId="35117911" w14:textId="77777777" w:rsidR="004739EB" w:rsidRPr="004739EB" w:rsidRDefault="004739EB" w:rsidP="004739EB">
      <w:pPr>
        <w:pStyle w:val="EndNoteBibliography"/>
        <w:ind w:left="720" w:hanging="720"/>
        <w:rPr>
          <w:noProof/>
        </w:rPr>
      </w:pPr>
      <w:r w:rsidRPr="004739EB">
        <w:rPr>
          <w:noProof/>
        </w:rPr>
        <w:t>23.</w:t>
      </w:r>
    </w:p>
    <w:p w14:paraId="2E6003DC" w14:textId="77777777" w:rsidR="004739EB" w:rsidRPr="004739EB" w:rsidRDefault="004739EB" w:rsidP="004739EB">
      <w:pPr>
        <w:pStyle w:val="EndNoteBibliography"/>
        <w:ind w:left="720" w:hanging="720"/>
        <w:rPr>
          <w:noProof/>
        </w:rPr>
      </w:pPr>
      <w:r w:rsidRPr="004739EB">
        <w:rPr>
          <w:noProof/>
        </w:rPr>
        <w:t xml:space="preserve">May, R.M. (1977). Thresholds and breakpoints in ecosystems with a multiplicity of stable states. </w:t>
      </w:r>
      <w:r w:rsidRPr="004739EB">
        <w:rPr>
          <w:i/>
          <w:noProof/>
        </w:rPr>
        <w:t>Nature</w:t>
      </w:r>
      <w:r w:rsidRPr="004739EB">
        <w:rPr>
          <w:noProof/>
        </w:rPr>
        <w:t>, 269, 471-477.</w:t>
      </w:r>
    </w:p>
    <w:p w14:paraId="50C76E80" w14:textId="77777777" w:rsidR="004739EB" w:rsidRPr="004739EB" w:rsidRDefault="004739EB" w:rsidP="004739EB">
      <w:pPr>
        <w:pStyle w:val="EndNoteBibliography"/>
        <w:ind w:left="720" w:hanging="720"/>
        <w:rPr>
          <w:noProof/>
        </w:rPr>
      </w:pPr>
      <w:r w:rsidRPr="004739EB">
        <w:rPr>
          <w:noProof/>
        </w:rPr>
        <w:t>24.</w:t>
      </w:r>
    </w:p>
    <w:p w14:paraId="7580D5B1" w14:textId="77777777" w:rsidR="004739EB" w:rsidRPr="004739EB" w:rsidRDefault="004739EB" w:rsidP="004739EB">
      <w:pPr>
        <w:pStyle w:val="EndNoteBibliography"/>
        <w:ind w:left="720" w:hanging="720"/>
        <w:rPr>
          <w:noProof/>
        </w:rPr>
      </w:pPr>
      <w:r w:rsidRPr="004739EB">
        <w:rPr>
          <w:noProof/>
        </w:rPr>
        <w:t xml:space="preserve">Morris, W.F. &amp; Doak, D.F. (2002). Quantitative conservation biology. </w:t>
      </w:r>
      <w:r w:rsidRPr="004739EB">
        <w:rPr>
          <w:i/>
          <w:noProof/>
        </w:rPr>
        <w:t>Sinauer, Sunderland, Massachusetts, USA</w:t>
      </w:r>
      <w:r w:rsidRPr="004739EB">
        <w:rPr>
          <w:noProof/>
        </w:rPr>
        <w:t>.</w:t>
      </w:r>
    </w:p>
    <w:p w14:paraId="1F8EBFC9" w14:textId="77777777" w:rsidR="004739EB" w:rsidRPr="004739EB" w:rsidRDefault="004739EB" w:rsidP="004739EB">
      <w:pPr>
        <w:pStyle w:val="EndNoteBibliography"/>
        <w:ind w:left="720" w:hanging="720"/>
        <w:rPr>
          <w:noProof/>
        </w:rPr>
      </w:pPr>
      <w:r w:rsidRPr="004739EB">
        <w:rPr>
          <w:noProof/>
        </w:rPr>
        <w:t>25.</w:t>
      </w:r>
    </w:p>
    <w:p w14:paraId="3A252333" w14:textId="77777777" w:rsidR="004739EB" w:rsidRPr="004739EB" w:rsidRDefault="004739EB" w:rsidP="004739EB">
      <w:pPr>
        <w:pStyle w:val="EndNoteBibliography"/>
        <w:ind w:left="720" w:hanging="720"/>
        <w:rPr>
          <w:noProof/>
        </w:rPr>
      </w:pPr>
      <w:r w:rsidRPr="004739EB">
        <w:rPr>
          <w:noProof/>
        </w:rPr>
        <w:t xml:space="preserve">Mumby, P.J., Hastings, A. &amp; Edwards, H.J. (2007). Thresholds and the resilience of Caribbean coral reefs. </w:t>
      </w:r>
      <w:r w:rsidRPr="004739EB">
        <w:rPr>
          <w:i/>
          <w:noProof/>
        </w:rPr>
        <w:t>Nature</w:t>
      </w:r>
      <w:r w:rsidRPr="004739EB">
        <w:rPr>
          <w:noProof/>
        </w:rPr>
        <w:t>, 450, 98-101.</w:t>
      </w:r>
    </w:p>
    <w:p w14:paraId="2B403735" w14:textId="77777777" w:rsidR="004739EB" w:rsidRPr="004739EB" w:rsidRDefault="004739EB" w:rsidP="004739EB">
      <w:pPr>
        <w:pStyle w:val="EndNoteBibliography"/>
        <w:ind w:left="720" w:hanging="720"/>
        <w:rPr>
          <w:noProof/>
        </w:rPr>
      </w:pPr>
      <w:r w:rsidRPr="004739EB">
        <w:rPr>
          <w:noProof/>
        </w:rPr>
        <w:t>26.</w:t>
      </w:r>
    </w:p>
    <w:p w14:paraId="6DFD2171" w14:textId="77777777" w:rsidR="004739EB" w:rsidRPr="004739EB" w:rsidRDefault="004739EB" w:rsidP="004739EB">
      <w:pPr>
        <w:pStyle w:val="EndNoteBibliography"/>
        <w:ind w:left="720" w:hanging="720"/>
        <w:rPr>
          <w:noProof/>
        </w:rPr>
      </w:pPr>
      <w:r w:rsidRPr="004739EB">
        <w:rPr>
          <w:noProof/>
        </w:rPr>
        <w:t>Rockström, J., Steffen, W., Noone, K., Persson, Å., Chapin, F.S., Lambin, E.F.</w:t>
      </w:r>
      <w:r w:rsidRPr="004739EB">
        <w:rPr>
          <w:i/>
          <w:noProof/>
        </w:rPr>
        <w:t xml:space="preserve"> et al.</w:t>
      </w:r>
      <w:r w:rsidRPr="004739EB">
        <w:rPr>
          <w:noProof/>
        </w:rPr>
        <w:t xml:space="preserve"> (2009). A safe operating space for humanity. </w:t>
      </w:r>
      <w:r w:rsidRPr="004739EB">
        <w:rPr>
          <w:i/>
          <w:noProof/>
        </w:rPr>
        <w:t>Nature</w:t>
      </w:r>
      <w:r w:rsidRPr="004739EB">
        <w:rPr>
          <w:noProof/>
        </w:rPr>
        <w:t>, 461, 472-475.</w:t>
      </w:r>
    </w:p>
    <w:p w14:paraId="3FB7EBF3" w14:textId="77777777" w:rsidR="004739EB" w:rsidRPr="004739EB" w:rsidRDefault="004739EB" w:rsidP="004739EB">
      <w:pPr>
        <w:pStyle w:val="EndNoteBibliography"/>
        <w:ind w:left="720" w:hanging="720"/>
        <w:rPr>
          <w:noProof/>
        </w:rPr>
      </w:pPr>
      <w:r w:rsidRPr="004739EB">
        <w:rPr>
          <w:noProof/>
        </w:rPr>
        <w:t>27.</w:t>
      </w:r>
    </w:p>
    <w:p w14:paraId="1233A5FC" w14:textId="77777777" w:rsidR="004739EB" w:rsidRPr="004739EB" w:rsidRDefault="004739EB" w:rsidP="004739EB">
      <w:pPr>
        <w:pStyle w:val="EndNoteBibliography"/>
        <w:ind w:left="720" w:hanging="720"/>
        <w:rPr>
          <w:noProof/>
        </w:rPr>
      </w:pPr>
      <w:r w:rsidRPr="004739EB">
        <w:rPr>
          <w:noProof/>
        </w:rPr>
        <w:t xml:space="preserve">Scheffer, M., Carpenter, S., Foley, J.A., Folke, C. &amp; Walker, B. (2001). Catastrophic shifts in ecosystems. </w:t>
      </w:r>
      <w:r w:rsidRPr="004739EB">
        <w:rPr>
          <w:i/>
          <w:noProof/>
        </w:rPr>
        <w:t>Nature</w:t>
      </w:r>
      <w:r w:rsidRPr="004739EB">
        <w:rPr>
          <w:noProof/>
        </w:rPr>
        <w:t>, 413, 591-596.</w:t>
      </w:r>
    </w:p>
    <w:p w14:paraId="7FD50693" w14:textId="77777777" w:rsidR="004739EB" w:rsidRPr="004739EB" w:rsidRDefault="004739EB" w:rsidP="004739EB">
      <w:pPr>
        <w:pStyle w:val="EndNoteBibliography"/>
        <w:ind w:left="720" w:hanging="720"/>
        <w:rPr>
          <w:noProof/>
        </w:rPr>
      </w:pPr>
      <w:r w:rsidRPr="004739EB">
        <w:rPr>
          <w:noProof/>
        </w:rPr>
        <w:t>28.</w:t>
      </w:r>
    </w:p>
    <w:p w14:paraId="4524A940" w14:textId="77777777" w:rsidR="004739EB" w:rsidRPr="004739EB" w:rsidRDefault="004739EB" w:rsidP="004739EB">
      <w:pPr>
        <w:pStyle w:val="EndNoteBibliography"/>
        <w:ind w:left="720" w:hanging="720"/>
        <w:rPr>
          <w:noProof/>
        </w:rPr>
      </w:pPr>
      <w:r w:rsidRPr="004739EB">
        <w:rPr>
          <w:noProof/>
        </w:rPr>
        <w:lastRenderedPageBreak/>
        <w:t xml:space="preserve">Scheffer, M., Hosper, S., Meijer, M., Moss, B. &amp; Jeppesen, E. (1993). Alternative equilibria in shallow lakes. </w:t>
      </w:r>
      <w:r w:rsidRPr="004739EB">
        <w:rPr>
          <w:i/>
          <w:noProof/>
        </w:rPr>
        <w:t>Trends in ecology &amp; evolution</w:t>
      </w:r>
      <w:r w:rsidRPr="004739EB">
        <w:rPr>
          <w:noProof/>
        </w:rPr>
        <w:t>, 8, 275-279.</w:t>
      </w:r>
    </w:p>
    <w:p w14:paraId="362C7D51" w14:textId="77777777" w:rsidR="004739EB" w:rsidRPr="004739EB" w:rsidRDefault="004739EB" w:rsidP="004739EB">
      <w:pPr>
        <w:pStyle w:val="EndNoteBibliography"/>
        <w:ind w:left="720" w:hanging="720"/>
        <w:rPr>
          <w:noProof/>
        </w:rPr>
      </w:pPr>
      <w:r w:rsidRPr="004739EB">
        <w:rPr>
          <w:noProof/>
        </w:rPr>
        <w:t>29.</w:t>
      </w:r>
    </w:p>
    <w:p w14:paraId="4AF34744" w14:textId="77777777" w:rsidR="004739EB" w:rsidRPr="004739EB" w:rsidRDefault="004739EB" w:rsidP="004739EB">
      <w:pPr>
        <w:pStyle w:val="EndNoteBibliography"/>
        <w:ind w:left="720" w:hanging="720"/>
        <w:rPr>
          <w:noProof/>
        </w:rPr>
      </w:pPr>
      <w:r w:rsidRPr="004739EB">
        <w:rPr>
          <w:noProof/>
        </w:rPr>
        <w:t>Schindler, D.E., Hilborn, R., Chasco, B., Boatright, C.P., Quinn, T.P., Rogers, L.A.</w:t>
      </w:r>
      <w:r w:rsidRPr="004739EB">
        <w:rPr>
          <w:i/>
          <w:noProof/>
        </w:rPr>
        <w:t xml:space="preserve"> et al.</w:t>
      </w:r>
      <w:r w:rsidRPr="004739EB">
        <w:rPr>
          <w:noProof/>
        </w:rPr>
        <w:t xml:space="preserve"> (2010). Population diversity and the portfolio effect in an exploited species. </w:t>
      </w:r>
      <w:r w:rsidRPr="004739EB">
        <w:rPr>
          <w:i/>
          <w:noProof/>
        </w:rPr>
        <w:t>Nature</w:t>
      </w:r>
      <w:r w:rsidRPr="004739EB">
        <w:rPr>
          <w:noProof/>
        </w:rPr>
        <w:t>, 465, 609-612.</w:t>
      </w:r>
    </w:p>
    <w:p w14:paraId="4B6CE70A" w14:textId="77777777" w:rsidR="004739EB" w:rsidRPr="004739EB" w:rsidRDefault="004739EB" w:rsidP="004739EB">
      <w:pPr>
        <w:pStyle w:val="EndNoteBibliography"/>
        <w:ind w:left="720" w:hanging="720"/>
        <w:rPr>
          <w:noProof/>
        </w:rPr>
      </w:pPr>
      <w:r w:rsidRPr="004739EB">
        <w:rPr>
          <w:noProof/>
        </w:rPr>
        <w:t>30.</w:t>
      </w:r>
    </w:p>
    <w:p w14:paraId="6485D370" w14:textId="77777777" w:rsidR="004739EB" w:rsidRPr="004739EB" w:rsidRDefault="004739EB" w:rsidP="004739EB">
      <w:pPr>
        <w:pStyle w:val="EndNoteBibliography"/>
        <w:ind w:left="720" w:hanging="720"/>
        <w:rPr>
          <w:noProof/>
        </w:rPr>
      </w:pPr>
      <w:r w:rsidRPr="004739EB">
        <w:rPr>
          <w:noProof/>
        </w:rPr>
        <w:t xml:space="preserve">Schrank, W.E., Arnason, R. &amp; Hannesson, R. (2003). </w:t>
      </w:r>
      <w:r w:rsidRPr="004739EB">
        <w:rPr>
          <w:i/>
          <w:noProof/>
        </w:rPr>
        <w:t>The cost of fisheries management</w:t>
      </w:r>
      <w:r w:rsidRPr="004739EB">
        <w:rPr>
          <w:noProof/>
        </w:rPr>
        <w:t>. Gower Publishing, Ltd.</w:t>
      </w:r>
    </w:p>
    <w:p w14:paraId="026E6A59" w14:textId="77777777" w:rsidR="004739EB" w:rsidRPr="004739EB" w:rsidRDefault="004739EB" w:rsidP="004739EB">
      <w:pPr>
        <w:pStyle w:val="EndNoteBibliography"/>
        <w:ind w:left="720" w:hanging="720"/>
        <w:rPr>
          <w:noProof/>
        </w:rPr>
      </w:pPr>
      <w:r w:rsidRPr="004739EB">
        <w:rPr>
          <w:noProof/>
        </w:rPr>
        <w:t>31.</w:t>
      </w:r>
    </w:p>
    <w:p w14:paraId="15391BD8" w14:textId="77777777" w:rsidR="004739EB" w:rsidRPr="004739EB" w:rsidRDefault="004739EB" w:rsidP="004739EB">
      <w:pPr>
        <w:pStyle w:val="EndNoteBibliography"/>
        <w:ind w:left="720" w:hanging="720"/>
        <w:rPr>
          <w:noProof/>
        </w:rPr>
      </w:pPr>
      <w:r w:rsidRPr="004739EB">
        <w:rPr>
          <w:noProof/>
        </w:rPr>
        <w:t>Selkoe, K.A., Blenckner, T., Caldwell, M.R., Crowder, L.B., Erickson, A.L., Essington, T.E.</w:t>
      </w:r>
      <w:r w:rsidRPr="004739EB">
        <w:rPr>
          <w:i/>
          <w:noProof/>
        </w:rPr>
        <w:t xml:space="preserve"> et al.</w:t>
      </w:r>
      <w:r w:rsidRPr="004739EB">
        <w:rPr>
          <w:noProof/>
        </w:rPr>
        <w:t xml:space="preserve"> (2015). Principles for managing marine ecosystems prone to tipping points. </w:t>
      </w:r>
      <w:r w:rsidRPr="004739EB">
        <w:rPr>
          <w:i/>
          <w:noProof/>
        </w:rPr>
        <w:t>Ecosystem Health and Sustainability</w:t>
      </w:r>
      <w:r w:rsidRPr="004739EB">
        <w:rPr>
          <w:noProof/>
        </w:rPr>
        <w:t>, 1, art17.</w:t>
      </w:r>
    </w:p>
    <w:p w14:paraId="21B0830A" w14:textId="77777777" w:rsidR="004739EB" w:rsidRPr="004739EB" w:rsidRDefault="004739EB" w:rsidP="004739EB">
      <w:pPr>
        <w:pStyle w:val="EndNoteBibliography"/>
        <w:ind w:left="720" w:hanging="720"/>
        <w:rPr>
          <w:noProof/>
        </w:rPr>
      </w:pPr>
      <w:r w:rsidRPr="004739EB">
        <w:rPr>
          <w:noProof/>
        </w:rPr>
        <w:t>32.</w:t>
      </w:r>
    </w:p>
    <w:p w14:paraId="0D051B3E" w14:textId="77777777" w:rsidR="004739EB" w:rsidRPr="004739EB" w:rsidRDefault="004739EB" w:rsidP="004739EB">
      <w:pPr>
        <w:pStyle w:val="EndNoteBibliography"/>
        <w:ind w:left="720" w:hanging="720"/>
        <w:rPr>
          <w:noProof/>
        </w:rPr>
      </w:pPr>
      <w:r w:rsidRPr="004739EB">
        <w:rPr>
          <w:noProof/>
        </w:rPr>
        <w:t xml:space="preserve">Sethi, G., Costello, C., Fisher, A., Hanemann, M. &amp; Karp, L. (2005). Fishery management under multiple uncertainty. </w:t>
      </w:r>
      <w:r w:rsidRPr="004739EB">
        <w:rPr>
          <w:i/>
          <w:noProof/>
        </w:rPr>
        <w:t>Journal of Environmental Economics and Management</w:t>
      </w:r>
      <w:r w:rsidRPr="004739EB">
        <w:rPr>
          <w:noProof/>
        </w:rPr>
        <w:t>, 50, 300-318.</w:t>
      </w:r>
    </w:p>
    <w:p w14:paraId="59B7BEC6" w14:textId="77777777" w:rsidR="004739EB" w:rsidRPr="004739EB" w:rsidRDefault="004739EB" w:rsidP="004739EB">
      <w:pPr>
        <w:pStyle w:val="EndNoteBibliography"/>
        <w:ind w:left="720" w:hanging="720"/>
        <w:rPr>
          <w:noProof/>
        </w:rPr>
      </w:pPr>
      <w:r w:rsidRPr="004739EB">
        <w:rPr>
          <w:noProof/>
        </w:rPr>
        <w:t>33.</w:t>
      </w:r>
    </w:p>
    <w:p w14:paraId="5FD611A5" w14:textId="77777777" w:rsidR="004739EB" w:rsidRPr="004739EB" w:rsidRDefault="004739EB" w:rsidP="004739EB">
      <w:pPr>
        <w:pStyle w:val="EndNoteBibliography"/>
        <w:ind w:left="720" w:hanging="720"/>
        <w:rPr>
          <w:noProof/>
        </w:rPr>
      </w:pPr>
      <w:r w:rsidRPr="004739EB">
        <w:rPr>
          <w:noProof/>
        </w:rPr>
        <w:t xml:space="preserve">Staver, A.C., Archibald, S. &amp; Levin, S. (2011). Tree cover in sub-Saharan Africa: rainfall and fire constrain forest and savanna as alternative stable states. </w:t>
      </w:r>
      <w:r w:rsidRPr="004739EB">
        <w:rPr>
          <w:i/>
          <w:noProof/>
        </w:rPr>
        <w:t>Ecology</w:t>
      </w:r>
      <w:r w:rsidRPr="004739EB">
        <w:rPr>
          <w:noProof/>
        </w:rPr>
        <w:t>, 92, 1063-1072.</w:t>
      </w:r>
    </w:p>
    <w:p w14:paraId="058E1B76" w14:textId="77777777" w:rsidR="004739EB" w:rsidRPr="004739EB" w:rsidRDefault="004739EB" w:rsidP="004739EB">
      <w:pPr>
        <w:pStyle w:val="EndNoteBibliography"/>
        <w:ind w:left="720" w:hanging="720"/>
        <w:rPr>
          <w:noProof/>
        </w:rPr>
      </w:pPr>
      <w:r w:rsidRPr="004739EB">
        <w:rPr>
          <w:noProof/>
        </w:rPr>
        <w:t>34.</w:t>
      </w:r>
    </w:p>
    <w:p w14:paraId="611846D3" w14:textId="77777777" w:rsidR="004739EB" w:rsidRPr="004739EB" w:rsidRDefault="004739EB" w:rsidP="004739EB">
      <w:pPr>
        <w:pStyle w:val="EndNoteBibliography"/>
        <w:ind w:left="720" w:hanging="720"/>
        <w:rPr>
          <w:noProof/>
        </w:rPr>
      </w:pPr>
      <w:r w:rsidRPr="004739EB">
        <w:rPr>
          <w:noProof/>
        </w:rPr>
        <w:t xml:space="preserve">Stephens, P.A., Sutherland, W.J. &amp; Freckleton, R.P. (1999). What is the Allee effect? </w:t>
      </w:r>
      <w:r w:rsidRPr="004739EB">
        <w:rPr>
          <w:i/>
          <w:noProof/>
        </w:rPr>
        <w:t>Oikos</w:t>
      </w:r>
      <w:r w:rsidRPr="004739EB">
        <w:rPr>
          <w:noProof/>
        </w:rPr>
        <w:t>, 185-190.</w:t>
      </w:r>
    </w:p>
    <w:p w14:paraId="76445C66" w14:textId="77777777" w:rsidR="004739EB" w:rsidRPr="004739EB" w:rsidRDefault="004739EB" w:rsidP="004739EB">
      <w:pPr>
        <w:pStyle w:val="EndNoteBibliography"/>
        <w:ind w:left="720" w:hanging="720"/>
        <w:rPr>
          <w:noProof/>
        </w:rPr>
      </w:pPr>
      <w:r w:rsidRPr="004739EB">
        <w:rPr>
          <w:noProof/>
        </w:rPr>
        <w:t>35.</w:t>
      </w:r>
    </w:p>
    <w:p w14:paraId="0E8846B8" w14:textId="77777777" w:rsidR="004739EB" w:rsidRPr="004739EB" w:rsidRDefault="004739EB" w:rsidP="004739EB">
      <w:pPr>
        <w:pStyle w:val="EndNoteBibliography"/>
        <w:ind w:left="720" w:hanging="720"/>
        <w:rPr>
          <w:noProof/>
        </w:rPr>
      </w:pPr>
      <w:r w:rsidRPr="004739EB">
        <w:rPr>
          <w:noProof/>
        </w:rPr>
        <w:t xml:space="preserve">Taylor, B.L. (1995). The reliability of using population viability analysis for risk classification of species. </w:t>
      </w:r>
      <w:r w:rsidRPr="004739EB">
        <w:rPr>
          <w:i/>
          <w:noProof/>
        </w:rPr>
        <w:t>Conservation Biology</w:t>
      </w:r>
      <w:r w:rsidRPr="004739EB">
        <w:rPr>
          <w:noProof/>
        </w:rPr>
        <w:t>, 9, 551-558.</w:t>
      </w:r>
    </w:p>
    <w:p w14:paraId="35355826" w14:textId="77777777" w:rsidR="004739EB" w:rsidRPr="004739EB" w:rsidRDefault="004739EB" w:rsidP="004739EB">
      <w:pPr>
        <w:pStyle w:val="EndNoteBibliography"/>
        <w:ind w:left="720" w:hanging="720"/>
        <w:rPr>
          <w:noProof/>
        </w:rPr>
      </w:pPr>
      <w:r w:rsidRPr="004739EB">
        <w:rPr>
          <w:noProof/>
        </w:rPr>
        <w:t>36.</w:t>
      </w:r>
    </w:p>
    <w:p w14:paraId="1E5143D2" w14:textId="77777777" w:rsidR="004739EB" w:rsidRPr="004739EB" w:rsidRDefault="004739EB" w:rsidP="004739EB">
      <w:pPr>
        <w:pStyle w:val="EndNoteBibliography"/>
        <w:ind w:left="720" w:hanging="720"/>
        <w:rPr>
          <w:noProof/>
        </w:rPr>
      </w:pPr>
      <w:r w:rsidRPr="004739EB">
        <w:rPr>
          <w:noProof/>
        </w:rPr>
        <w:t xml:space="preserve">Walters, C.J. &amp; Hilborn, R. (1978). Ecological optimization and adaptive management. </w:t>
      </w:r>
      <w:r w:rsidRPr="004739EB">
        <w:rPr>
          <w:i/>
          <w:noProof/>
        </w:rPr>
        <w:t>Annual review of Ecology and Systematics</w:t>
      </w:r>
      <w:r w:rsidRPr="004739EB">
        <w:rPr>
          <w:noProof/>
        </w:rPr>
        <w:t>, 157-188.</w:t>
      </w:r>
    </w:p>
    <w:p w14:paraId="3FADD14E" w14:textId="7E870ED7"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10"/>
      <w:r w:rsidRPr="00957F1F">
        <w:rPr>
          <w:rFonts w:ascii="Helvetica" w:hAnsi="Helvetica"/>
          <w:sz w:val="22"/>
          <w:szCs w:val="22"/>
        </w:rPr>
        <w:t>B) the scaling relationship between the coefficient of variation (CV) and the degree to which the sampled biomass differs from the true biomass.</w:t>
      </w:r>
      <w:commentRangeEnd w:id="10"/>
      <w:r w:rsidR="007821E5">
        <w:rPr>
          <w:rStyle w:val="CommentReference"/>
        </w:rPr>
        <w:commentReference w:id="10"/>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lang w:eastAsia="en-US"/>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lang w:eastAsia="en-US"/>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61A0EB8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lang w:eastAsia="en-US"/>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w:t>
      </w:r>
      <w:commentRangeStart w:id="11"/>
      <w:r w:rsidR="00091253" w:rsidRPr="00957F1F">
        <w:rPr>
          <w:rFonts w:ascii="Helvetica" w:hAnsi="Helvetica"/>
          <w:sz w:val="22"/>
          <w:szCs w:val="22"/>
        </w:rPr>
        <w:t>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1"/>
      <w:r w:rsidR="0073410C">
        <w:rPr>
          <w:rStyle w:val="CommentReference"/>
        </w:rPr>
        <w:commentReference w:id="11"/>
      </w:r>
      <w:r w:rsidR="003A5CF9" w:rsidRPr="00957F1F">
        <w:rPr>
          <w:rFonts w:ascii="Helvetica" w:hAnsi="Helvetica"/>
          <w:sz w:val="22"/>
          <w:szCs w:val="22"/>
        </w:rPr>
        <w:t>)</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lang w:eastAsia="en-US"/>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w:t>
      </w:r>
      <w:proofErr w:type="gramStart"/>
      <w:r w:rsidR="00F5594E">
        <w:rPr>
          <w:rFonts w:ascii="Helvetica" w:hAnsi="Helvetica"/>
          <w:sz w:val="22"/>
          <w:szCs w:val="22"/>
        </w:rPr>
        <w:t>cold  to</w:t>
      </w:r>
      <w:proofErr w:type="gramEnd"/>
      <w:r w:rsidR="00F5594E">
        <w:rPr>
          <w:rFonts w:ascii="Helvetica" w:hAnsi="Helvetica"/>
          <w:sz w:val="22"/>
          <w:szCs w:val="22"/>
        </w:rPr>
        <w:t xml:space="preserve">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lang w:eastAsia="en-US"/>
        </w:rPr>
        <w:drawing>
          <wp:inline distT="0" distB="0" distL="0" distR="0" wp14:anchorId="7218D558" wp14:editId="7821BA00">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23">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785455" w:rsidRDefault="00785455" w:rsidP="00BF38F4">
      <w:pPr>
        <w:rPr>
          <w:rFonts w:ascii="Helvetica" w:hAnsi="Helvetica"/>
          <w:sz w:val="22"/>
          <w:szCs w:val="22"/>
        </w:rPr>
      </w:pPr>
      <w:r>
        <w:rPr>
          <w:rStyle w:val="CommentReference"/>
        </w:rPr>
        <w:annotationRef/>
      </w:r>
    </w:p>
    <w:p w14:paraId="3B323FF5" w14:textId="6A5724B8" w:rsidR="00785455" w:rsidRPr="00BF38F4" w:rsidRDefault="00785455"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785455" w:rsidRDefault="00785455" w:rsidP="00BF38F4">
      <w:pPr>
        <w:rPr>
          <w:rFonts w:ascii="Helvetica" w:hAnsi="Helvetica"/>
          <w:sz w:val="22"/>
          <w:szCs w:val="22"/>
        </w:rPr>
      </w:pPr>
    </w:p>
    <w:p w14:paraId="44B0698A" w14:textId="13F86473" w:rsidR="00785455" w:rsidRPr="00BF38F4" w:rsidRDefault="00785455"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785455" w:rsidRPr="00BF38F4" w:rsidRDefault="00785455" w:rsidP="00BF38F4">
      <w:pPr>
        <w:outlineLvl w:val="0"/>
        <w:rPr>
          <w:rFonts w:ascii="Helvetica" w:hAnsi="Helvetica" w:cs="Times New Roman"/>
          <w:bCs/>
          <w:sz w:val="22"/>
          <w:szCs w:val="22"/>
        </w:rPr>
      </w:pPr>
    </w:p>
    <w:p w14:paraId="719A3356"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785455" w:rsidRPr="00BF38F4" w:rsidRDefault="00785455" w:rsidP="00BF38F4">
      <w:pPr>
        <w:pStyle w:val="CommentText"/>
        <w:rPr>
          <w:rFonts w:ascii="Helvetica" w:hAnsi="Helvetica"/>
          <w:sz w:val="22"/>
          <w:szCs w:val="22"/>
        </w:rPr>
      </w:pPr>
    </w:p>
    <w:p w14:paraId="5FABC348"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785455" w:rsidRPr="00BF38F4" w:rsidRDefault="00785455" w:rsidP="00BF38F4">
      <w:pPr>
        <w:pStyle w:val="CommentText"/>
        <w:rPr>
          <w:rFonts w:ascii="Helvetica" w:hAnsi="Helvetica"/>
          <w:sz w:val="22"/>
          <w:szCs w:val="22"/>
        </w:rPr>
      </w:pPr>
    </w:p>
    <w:p w14:paraId="63CD80C2" w14:textId="77777777" w:rsidR="00785455" w:rsidRPr="00BF38F4" w:rsidRDefault="00785455"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785455" w:rsidRPr="00BF38F4" w:rsidRDefault="00785455" w:rsidP="00BF38F4">
      <w:pPr>
        <w:outlineLvl w:val="0"/>
        <w:rPr>
          <w:rFonts w:ascii="Helvetica" w:hAnsi="Helvetica"/>
          <w:sz w:val="22"/>
          <w:szCs w:val="22"/>
        </w:rPr>
      </w:pPr>
    </w:p>
    <w:p w14:paraId="474644D0" w14:textId="77777777" w:rsidR="00785455" w:rsidRPr="00BF38F4" w:rsidRDefault="00785455"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785455" w:rsidRDefault="00785455">
      <w:pPr>
        <w:pStyle w:val="CommentText"/>
      </w:pPr>
    </w:p>
  </w:comment>
  <w:comment w:id="2" w:author="Timothy Essington" w:date="2016-01-19T11:39:00Z" w:initials="TE">
    <w:p w14:paraId="70061314" w14:textId="77777777" w:rsidR="00785455" w:rsidRDefault="00785455">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785455" w:rsidRDefault="00785455">
      <w:pPr>
        <w:pStyle w:val="CommentText"/>
      </w:pPr>
    </w:p>
    <w:p w14:paraId="6AB75C3E" w14:textId="685BE6FD" w:rsidR="00785455" w:rsidRDefault="00785455">
      <w:pPr>
        <w:pStyle w:val="CommentText"/>
      </w:pPr>
      <w:r w:rsidRPr="00B75DF6">
        <w:rPr>
          <w:b/>
        </w:rPr>
        <w:t>AS:</w:t>
      </w:r>
      <w:r>
        <w:t xml:space="preserve"> No, it’s not. I think we can wait for reviews to fix this if it comes up. I Don’t think it will change the qualitative an</w:t>
      </w:r>
      <w:r w:rsidR="004739EB">
        <w:t>s</w:t>
      </w:r>
      <w:r>
        <w:t xml:space="preserve">wer, but maybe I’m not thinking clearly about it.   </w:t>
      </w:r>
    </w:p>
  </w:comment>
  <w:comment w:id="3" w:author="Timothy Essington" w:date="2015-11-09T17:10:00Z" w:initials="TE">
    <w:p w14:paraId="175A9EFA" w14:textId="77777777" w:rsidR="00785455" w:rsidRDefault="0078545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785455" w:rsidRDefault="00785455">
      <w:pPr>
        <w:pStyle w:val="CommentText"/>
      </w:pPr>
    </w:p>
    <w:p w14:paraId="0E8A3793" w14:textId="77777777" w:rsidR="00785455" w:rsidRDefault="00785455">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4" w:author="Ben Halpern" w:date="2015-11-09T16:45:00Z" w:initials="BH">
    <w:p w14:paraId="5A39CAF1" w14:textId="77777777" w:rsidR="00785455" w:rsidRDefault="00785455">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785455" w:rsidRDefault="00785455">
      <w:pPr>
        <w:pStyle w:val="CommentText"/>
      </w:pPr>
    </w:p>
    <w:p w14:paraId="773F4C70" w14:textId="77777777" w:rsidR="00785455" w:rsidRDefault="00785455">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5" w:author="Ben Halpern" w:date="2015-11-17T09:14:00Z" w:initials="BH">
    <w:p w14:paraId="511F8461" w14:textId="77777777" w:rsidR="00785455" w:rsidRDefault="00785455" w:rsidP="00F82FC2">
      <w:pPr>
        <w:pStyle w:val="CommentText"/>
      </w:pPr>
      <w:r>
        <w:rPr>
          <w:rStyle w:val="CommentReference"/>
        </w:rPr>
        <w:annotationRef/>
      </w:r>
      <w:r>
        <w:t>As stated this seems an obvious outcome – but maybe the obvious needs to be stated?</w:t>
      </w:r>
    </w:p>
    <w:p w14:paraId="41264E50" w14:textId="77777777" w:rsidR="00785455" w:rsidRDefault="00785455" w:rsidP="00F82FC2">
      <w:pPr>
        <w:pStyle w:val="CommentText"/>
      </w:pPr>
    </w:p>
    <w:p w14:paraId="75971B11" w14:textId="77777777" w:rsidR="00785455" w:rsidRDefault="00785455" w:rsidP="00F82FC2">
      <w:pPr>
        <w:pStyle w:val="CommentText"/>
      </w:pPr>
      <w:r w:rsidRPr="00CC3AF9">
        <w:rPr>
          <w:b/>
        </w:rPr>
        <w:t>AS</w:t>
      </w:r>
      <w:r>
        <w:t xml:space="preserve">: I think it’s intuitive but I also think it’s important to make sure everyone is on the same page. </w:t>
      </w:r>
    </w:p>
  </w:comment>
  <w:comment w:id="6" w:author="Timothy Essington" w:date="2016-01-19T11:40:00Z" w:initials="TE">
    <w:p w14:paraId="00A15615" w14:textId="0819DDB3" w:rsidR="00785455" w:rsidRDefault="00785455" w:rsidP="007F6B81">
      <w:pPr>
        <w:pStyle w:val="CommentText"/>
      </w:pPr>
      <w:r>
        <w:rPr>
          <w:rStyle w:val="CommentReference"/>
        </w:rPr>
        <w:annotationRef/>
      </w:r>
      <w:r>
        <w:t>This term is potentially confusing.  Let’s call this a management threshold – actually even that isn’t right because it’s a threshold fro</w:t>
      </w:r>
      <w:r w:rsidR="004739EB">
        <w:t>m</w:t>
      </w:r>
      <w:r>
        <w:t xml:space="preserve"> the perspective of resource users.  Hmmm</w:t>
      </w:r>
      <w:proofErr w:type="gramStart"/>
      <w:r>
        <w:t>….either</w:t>
      </w:r>
      <w:proofErr w:type="gramEnd"/>
      <w:r>
        <w:t xml:space="preserve"> way we’ll need to add more words to explain this and avoid confusion</w:t>
      </w:r>
    </w:p>
    <w:p w14:paraId="48700BB7" w14:textId="77777777" w:rsidR="00785455" w:rsidRDefault="00785455" w:rsidP="007F6B81">
      <w:pPr>
        <w:pStyle w:val="CommentText"/>
      </w:pPr>
    </w:p>
    <w:p w14:paraId="0D7E4C24" w14:textId="77777777" w:rsidR="00785455" w:rsidRPr="00A42605" w:rsidRDefault="00785455" w:rsidP="007F6B81">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7" w:author="Anne Salomon" w:date="2015-12-10T14:54:00Z" w:initials="AS">
    <w:p w14:paraId="438FE744" w14:textId="77777777" w:rsidR="00785455" w:rsidRDefault="00785455">
      <w:pPr>
        <w:pStyle w:val="CommentText"/>
      </w:pPr>
      <w:r>
        <w:rPr>
          <w:rStyle w:val="CommentReference"/>
        </w:rPr>
        <w:annotationRef/>
      </w:r>
      <w:r>
        <w:t>Ecosystem or population??? Back to Tim’s earlier point…</w:t>
      </w:r>
    </w:p>
    <w:p w14:paraId="3597313D" w14:textId="77777777" w:rsidR="00785455" w:rsidRDefault="00785455">
      <w:pPr>
        <w:pStyle w:val="CommentText"/>
      </w:pPr>
    </w:p>
    <w:p w14:paraId="0448C802" w14:textId="772D95D8" w:rsidR="00785455" w:rsidRDefault="00785455">
      <w:pPr>
        <w:pStyle w:val="CommentText"/>
      </w:pPr>
      <w:r>
        <w:t>You could side step this issue by calling it a system</w:t>
      </w:r>
    </w:p>
  </w:comment>
  <w:comment w:id="8" w:author="Adrian Stier" w:date="2015-12-18T12:16:00Z" w:initials="AS">
    <w:p w14:paraId="2EFFB07D" w14:textId="36BD9F18" w:rsidR="00785455" w:rsidRDefault="00785455" w:rsidP="00FA68C5">
      <w:pPr>
        <w:pStyle w:val="CommentText"/>
        <w:rPr>
          <w:rFonts w:ascii="Helvetica" w:hAnsi="Helvetica"/>
          <w:sz w:val="22"/>
          <w:szCs w:val="22"/>
        </w:rPr>
      </w:pPr>
      <w:r>
        <w:rPr>
          <w:rStyle w:val="CommentReference"/>
        </w:rPr>
        <w:annotationRef/>
      </w:r>
      <w:r>
        <w:rPr>
          <w:rFonts w:ascii="Helvetica" w:hAnsi="Helvetica"/>
          <w:sz w:val="22"/>
          <w:szCs w:val="22"/>
        </w:rPr>
        <w:t>Anne: (That is IF the Agency isn’t captured by the industry it is suppose to regulate – which is all to often the case in reality)</w:t>
      </w:r>
    </w:p>
    <w:p w14:paraId="238D2959" w14:textId="77777777" w:rsidR="00785455" w:rsidRDefault="00785455" w:rsidP="00FA68C5">
      <w:pPr>
        <w:pStyle w:val="CommentText"/>
        <w:rPr>
          <w:rFonts w:ascii="Helvetica" w:hAnsi="Helvetica"/>
          <w:sz w:val="22"/>
          <w:szCs w:val="22"/>
        </w:rPr>
      </w:pPr>
    </w:p>
    <w:p w14:paraId="7977F5B3" w14:textId="0D3443FC" w:rsidR="00785455" w:rsidRDefault="00785455" w:rsidP="00FA68C5">
      <w:pPr>
        <w:pStyle w:val="CommentText"/>
      </w:pPr>
      <w:r>
        <w:rPr>
          <w:rFonts w:ascii="Helvetica" w:hAnsi="Helvetica"/>
          <w:sz w:val="22"/>
          <w:szCs w:val="22"/>
        </w:rPr>
        <w:t>Adrian: yup I agree but I’m feeling like maybe we leave this out here or incorporate it below? This paragraph is already dense and I’d like to cut it down more.</w:t>
      </w:r>
    </w:p>
  </w:comment>
  <w:comment w:id="9" w:author="Anne Salomon" w:date="2016-01-19T11:40:00Z" w:initials="AS">
    <w:p w14:paraId="47BA8F2A" w14:textId="77777777" w:rsidR="00785455" w:rsidRDefault="00785455" w:rsidP="00F9071C">
      <w:pPr>
        <w:pStyle w:val="CommentText"/>
      </w:pPr>
      <w:r>
        <w:rPr>
          <w:rStyle w:val="CommentReference"/>
        </w:rPr>
        <w:annotationRef/>
      </w:r>
      <w:r>
        <w:t>We’ll need to find a good set of references for this example. I’ll see what I can dig up.</w:t>
      </w:r>
    </w:p>
    <w:p w14:paraId="27C05F66" w14:textId="77777777" w:rsidR="00785455" w:rsidRDefault="00785455" w:rsidP="00F9071C">
      <w:pPr>
        <w:pStyle w:val="CommentText"/>
      </w:pPr>
    </w:p>
    <w:p w14:paraId="632EE88E" w14:textId="0A2F5634" w:rsidR="00785455" w:rsidRPr="00FD69FF" w:rsidRDefault="004739EB" w:rsidP="00FD69FF">
      <w:pPr>
        <w:rPr>
          <w:rFonts w:ascii="Times" w:eastAsia="Times New Roman" w:hAnsi="Times" w:cs="Times New Roman"/>
          <w:sz w:val="20"/>
          <w:szCs w:val="20"/>
          <w:lang w:eastAsia="en-US"/>
        </w:rPr>
      </w:pPr>
      <w:r>
        <w:t xml:space="preserve">AS: </w:t>
      </w:r>
      <w:r w:rsidR="00785455">
        <w:t xml:space="preserve">Yup. And it’s more complicated because of the </w:t>
      </w:r>
      <w:proofErr w:type="spellStart"/>
      <w:r w:rsidR="00785455">
        <w:t>Larocque</w:t>
      </w:r>
      <w:proofErr w:type="spellEnd"/>
      <w:r w:rsidR="00785455">
        <w:t xml:space="preserve"> decision, baring fish for science strategies.  </w:t>
      </w:r>
    </w:p>
    <w:p w14:paraId="1A18A692" w14:textId="24DA3BA5" w:rsidR="00785455" w:rsidRDefault="00785455" w:rsidP="00F9071C">
      <w:pPr>
        <w:pStyle w:val="CommentText"/>
      </w:pPr>
      <w:r>
        <w:t xml:space="preserve">decision </w:t>
      </w:r>
    </w:p>
    <w:p w14:paraId="193617B8" w14:textId="77777777" w:rsidR="00785455" w:rsidRDefault="00785455" w:rsidP="00F9071C">
      <w:pPr>
        <w:pStyle w:val="CommentText"/>
      </w:pPr>
    </w:p>
    <w:p w14:paraId="4B38B4BA" w14:textId="3BCFE1F0" w:rsidR="00785455" w:rsidRDefault="00785455" w:rsidP="00F9071C">
      <w:pPr>
        <w:pStyle w:val="CommentText"/>
      </w:pPr>
      <w:r w:rsidRPr="00EC660C">
        <w:t>http://www.dfo-mpo.gc.ca/fm-gp/policies-politiques/fish-allocation-finance-poisson-eng.htm</w:t>
      </w:r>
    </w:p>
  </w:comment>
  <w:comment w:id="10" w:author="Timothy Essington" w:date="2015-11-09T17:14:00Z" w:initials="TE">
    <w:p w14:paraId="7F1CA3F6" w14:textId="77777777" w:rsidR="00785455" w:rsidRDefault="00785455">
      <w:pPr>
        <w:pStyle w:val="CommentText"/>
      </w:pPr>
      <w:r>
        <w:rPr>
          <w:rStyle w:val="CommentReference"/>
        </w:rPr>
        <w:annotationRef/>
      </w:r>
      <w:r>
        <w:t xml:space="preserve">Is the point here just to show people how a log normal error works?  </w:t>
      </w:r>
      <w:proofErr w:type="gramStart"/>
      <w:r>
        <w:t>Also,  check</w:t>
      </w:r>
      <w:proofErr w:type="gramEnd"/>
      <w:r>
        <w:t xml:space="preserve"> y axis, I think this is meant to be proportional to biomass?  Otherwise these are tiny differences, and wouldn’t it depend on what the true biomass is?</w:t>
      </w:r>
    </w:p>
    <w:p w14:paraId="08CB12DA" w14:textId="77777777" w:rsidR="00785455" w:rsidRDefault="00785455">
      <w:pPr>
        <w:pStyle w:val="CommentText"/>
      </w:pPr>
    </w:p>
    <w:p w14:paraId="719ED9AF" w14:textId="77777777" w:rsidR="00785455" w:rsidRDefault="00785455">
      <w:pPr>
        <w:pStyle w:val="CommentText"/>
      </w:pPr>
      <w:r w:rsidRPr="006554B9">
        <w:rPr>
          <w:b/>
        </w:rPr>
        <w:t>AS</w:t>
      </w:r>
      <w:r>
        <w:t xml:space="preserve">: I was trying to build a figure that helps people visualize the model a bit, but maybe just the top left and bottom right are necessary? </w:t>
      </w:r>
    </w:p>
  </w:comment>
  <w:comment w:id="11" w:author="Crow White" w:date="2015-12-16T14:54:00Z" w:initials="CW">
    <w:p w14:paraId="5070E346" w14:textId="4955A07A" w:rsidR="00785455" w:rsidRDefault="00785455">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6AB75C3E" w15:done="0"/>
  <w15:commentEx w15:paraId="0E8A3793" w15:done="0"/>
  <w15:commentEx w15:paraId="773F4C70" w15:done="0"/>
  <w15:commentEx w15:paraId="75971B11" w15:done="0"/>
  <w15:commentEx w15:paraId="0D7E4C24" w15:done="0"/>
  <w15:commentEx w15:paraId="0448C802" w15:done="0"/>
  <w15:commentEx w15:paraId="7977F5B3" w15:done="0"/>
  <w15:commentEx w15:paraId="4B38B4BA" w15:done="0"/>
  <w15:commentEx w15:paraId="719ED9AF" w15:done="0"/>
  <w15:commentEx w15:paraId="5070E3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46A827" w14:textId="77777777" w:rsidR="007446F4" w:rsidRDefault="007446F4" w:rsidP="00135D5C">
      <w:r>
        <w:separator/>
      </w:r>
    </w:p>
  </w:endnote>
  <w:endnote w:type="continuationSeparator" w:id="0">
    <w:p w14:paraId="0D3B8B19" w14:textId="77777777" w:rsidR="007446F4" w:rsidRDefault="007446F4"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7F4A0A" w14:textId="77777777" w:rsidR="007446F4" w:rsidRDefault="007446F4" w:rsidP="00135D5C">
      <w:r>
        <w:separator/>
      </w:r>
    </w:p>
  </w:footnote>
  <w:footnote w:type="continuationSeparator" w:id="0">
    <w:p w14:paraId="3F82A715" w14:textId="77777777" w:rsidR="007446F4" w:rsidRDefault="007446F4"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0"/>
  </w:num>
  <w:num w:numId="4">
    <w:abstractNumId w:val="3"/>
  </w:num>
  <w:num w:numId="5">
    <w:abstractNumId w:val="9"/>
  </w:num>
  <w:num w:numId="6">
    <w:abstractNumId w:val="6"/>
  </w:num>
  <w:num w:numId="7">
    <w:abstractNumId w:val="12"/>
  </w:num>
  <w:num w:numId="8">
    <w:abstractNumId w:val="11"/>
  </w:num>
  <w:num w:numId="9">
    <w:abstractNumId w:val="13"/>
  </w:num>
  <w:num w:numId="10">
    <w:abstractNumId w:val="8"/>
  </w:num>
  <w:num w:numId="11">
    <w:abstractNumId w:val="1"/>
  </w:num>
  <w:num w:numId="12">
    <w:abstractNumId w:val="14"/>
  </w:num>
  <w:num w:numId="13">
    <w:abstractNumId w:val="4"/>
  </w:num>
  <w:num w:numId="14">
    <w:abstractNumId w:val="5"/>
    <w:lvlOverride w:ilvl="0">
      <w:startOverride w:val="1"/>
    </w:lvlOverride>
  </w:num>
  <w:num w:numId="15">
    <w:abstractNumId w:val="10"/>
  </w:num>
  <w:num w:numId="1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361&lt;/item&gt;&lt;item&gt;6671&lt;/item&gt;&lt;item&gt;7234&lt;/item&gt;&lt;item&gt;7947&lt;/item&gt;&lt;item&gt;8002&lt;/item&gt;&lt;item&gt;8026&lt;/item&gt;&lt;item&gt;8048&lt;/item&gt;&lt;item&gt;8077&lt;/item&gt;&lt;item&gt;8123&lt;/item&gt;&lt;item&gt;8124&lt;/item&gt;&lt;item&gt;8126&lt;/item&gt;&lt;item&gt;8128&lt;/item&gt;&lt;item&gt;8132&lt;/item&gt;&lt;item&gt;8141&lt;/item&gt;&lt;item&gt;8143&lt;/item&gt;&lt;item&gt;8144&lt;/item&gt;&lt;item&gt;8147&lt;/item&gt;&lt;item&gt;8152&lt;/item&gt;&lt;item&gt;8153&lt;/item&gt;&lt;item&gt;8167&lt;/item&gt;&lt;item&gt;8170&lt;/item&gt;&lt;item&gt;8171&lt;/item&gt;&lt;item&gt;8190&lt;/item&gt;&lt;item&gt;8191&lt;/item&gt;&lt;item&gt;8192&lt;/item&gt;&lt;item&gt;8198&lt;/item&gt;&lt;item&gt;8199&lt;/item&gt;&lt;item&gt;8200&lt;/item&gt;&lt;item&gt;8267&lt;/item&gt;&lt;item&gt;8268&lt;/item&gt;&lt;item&gt;8269&lt;/item&gt;&lt;item&gt;8288&lt;/item&gt;&lt;item&gt;8291&lt;/item&gt;&lt;item&gt;8292&lt;/item&gt;&lt;item&gt;8293&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E81"/>
    <w:rsid w:val="000C77B0"/>
    <w:rsid w:val="000D02B5"/>
    <w:rsid w:val="000D0AC5"/>
    <w:rsid w:val="000D0C63"/>
    <w:rsid w:val="000D1ADB"/>
    <w:rsid w:val="000D60B9"/>
    <w:rsid w:val="000D6496"/>
    <w:rsid w:val="000D6717"/>
    <w:rsid w:val="000D71E0"/>
    <w:rsid w:val="000D7A36"/>
    <w:rsid w:val="000E1081"/>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6E11"/>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2B06"/>
    <w:rsid w:val="00132E01"/>
    <w:rsid w:val="001341AD"/>
    <w:rsid w:val="0013445E"/>
    <w:rsid w:val="00134761"/>
    <w:rsid w:val="00135D5C"/>
    <w:rsid w:val="001361AB"/>
    <w:rsid w:val="001372FE"/>
    <w:rsid w:val="00137A9E"/>
    <w:rsid w:val="00140E4A"/>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2080"/>
    <w:rsid w:val="00183F68"/>
    <w:rsid w:val="001840A1"/>
    <w:rsid w:val="00185A27"/>
    <w:rsid w:val="0018711C"/>
    <w:rsid w:val="001876E3"/>
    <w:rsid w:val="001915FF"/>
    <w:rsid w:val="00191790"/>
    <w:rsid w:val="00193870"/>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2EBF"/>
    <w:rsid w:val="002F410D"/>
    <w:rsid w:val="002F5988"/>
    <w:rsid w:val="002F64A9"/>
    <w:rsid w:val="00300F98"/>
    <w:rsid w:val="0030245C"/>
    <w:rsid w:val="00302537"/>
    <w:rsid w:val="003030A9"/>
    <w:rsid w:val="003041B4"/>
    <w:rsid w:val="00305441"/>
    <w:rsid w:val="00312C20"/>
    <w:rsid w:val="00321EF4"/>
    <w:rsid w:val="00323101"/>
    <w:rsid w:val="003250F7"/>
    <w:rsid w:val="00325A3A"/>
    <w:rsid w:val="0032699A"/>
    <w:rsid w:val="00331440"/>
    <w:rsid w:val="00331EB5"/>
    <w:rsid w:val="00332702"/>
    <w:rsid w:val="00335F01"/>
    <w:rsid w:val="00340075"/>
    <w:rsid w:val="00341E3B"/>
    <w:rsid w:val="00342124"/>
    <w:rsid w:val="00342681"/>
    <w:rsid w:val="003426F7"/>
    <w:rsid w:val="0034291E"/>
    <w:rsid w:val="003435AE"/>
    <w:rsid w:val="003440F3"/>
    <w:rsid w:val="00344157"/>
    <w:rsid w:val="00344A84"/>
    <w:rsid w:val="00345A54"/>
    <w:rsid w:val="00345EFB"/>
    <w:rsid w:val="0034606C"/>
    <w:rsid w:val="003476B7"/>
    <w:rsid w:val="003503F0"/>
    <w:rsid w:val="00351415"/>
    <w:rsid w:val="003546B1"/>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FAD"/>
    <w:rsid w:val="0044422E"/>
    <w:rsid w:val="00444278"/>
    <w:rsid w:val="004445D3"/>
    <w:rsid w:val="004471F2"/>
    <w:rsid w:val="0045028A"/>
    <w:rsid w:val="00450605"/>
    <w:rsid w:val="004519BF"/>
    <w:rsid w:val="00454793"/>
    <w:rsid w:val="0045687C"/>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6AB7"/>
    <w:rsid w:val="00527276"/>
    <w:rsid w:val="00527C70"/>
    <w:rsid w:val="00530EFF"/>
    <w:rsid w:val="00531061"/>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E38"/>
    <w:rsid w:val="0056105D"/>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6F85"/>
    <w:rsid w:val="005776CF"/>
    <w:rsid w:val="00577B65"/>
    <w:rsid w:val="00580714"/>
    <w:rsid w:val="005807D5"/>
    <w:rsid w:val="00581287"/>
    <w:rsid w:val="005821C1"/>
    <w:rsid w:val="00582FDE"/>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50A3"/>
    <w:rsid w:val="005B69F7"/>
    <w:rsid w:val="005B7132"/>
    <w:rsid w:val="005B7365"/>
    <w:rsid w:val="005C00B8"/>
    <w:rsid w:val="005C0E01"/>
    <w:rsid w:val="005C1110"/>
    <w:rsid w:val="005C14D0"/>
    <w:rsid w:val="005C1861"/>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455"/>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24AF"/>
    <w:rsid w:val="007329C4"/>
    <w:rsid w:val="00732BDD"/>
    <w:rsid w:val="00733D34"/>
    <w:rsid w:val="0073410C"/>
    <w:rsid w:val="0073640D"/>
    <w:rsid w:val="0073729F"/>
    <w:rsid w:val="00740942"/>
    <w:rsid w:val="00740EE9"/>
    <w:rsid w:val="0074108B"/>
    <w:rsid w:val="007419C2"/>
    <w:rsid w:val="00741A2F"/>
    <w:rsid w:val="007439A8"/>
    <w:rsid w:val="007446F4"/>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50C7"/>
    <w:rsid w:val="007955D8"/>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D0B82"/>
    <w:rsid w:val="007D1B24"/>
    <w:rsid w:val="007D28E5"/>
    <w:rsid w:val="007D2E9C"/>
    <w:rsid w:val="007D370A"/>
    <w:rsid w:val="007D3941"/>
    <w:rsid w:val="007D3A17"/>
    <w:rsid w:val="007D3BA8"/>
    <w:rsid w:val="007D5B2D"/>
    <w:rsid w:val="007D654C"/>
    <w:rsid w:val="007D6F08"/>
    <w:rsid w:val="007D7402"/>
    <w:rsid w:val="007E05E7"/>
    <w:rsid w:val="007E1052"/>
    <w:rsid w:val="007E4DA3"/>
    <w:rsid w:val="007E6BD4"/>
    <w:rsid w:val="007E7F32"/>
    <w:rsid w:val="007F159D"/>
    <w:rsid w:val="007F212E"/>
    <w:rsid w:val="007F29C8"/>
    <w:rsid w:val="007F2FC1"/>
    <w:rsid w:val="007F391F"/>
    <w:rsid w:val="007F61D2"/>
    <w:rsid w:val="007F6AB8"/>
    <w:rsid w:val="007F6B81"/>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8F67BA"/>
    <w:rsid w:val="008F762F"/>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76D8B"/>
    <w:rsid w:val="00981D2A"/>
    <w:rsid w:val="009830E7"/>
    <w:rsid w:val="009843CF"/>
    <w:rsid w:val="00984D47"/>
    <w:rsid w:val="00984E98"/>
    <w:rsid w:val="00986316"/>
    <w:rsid w:val="00986905"/>
    <w:rsid w:val="009875C7"/>
    <w:rsid w:val="009900D6"/>
    <w:rsid w:val="009908E2"/>
    <w:rsid w:val="00990F56"/>
    <w:rsid w:val="00992A4F"/>
    <w:rsid w:val="00992EEE"/>
    <w:rsid w:val="00993C3D"/>
    <w:rsid w:val="00995761"/>
    <w:rsid w:val="00995A39"/>
    <w:rsid w:val="0099636B"/>
    <w:rsid w:val="0099664B"/>
    <w:rsid w:val="00996689"/>
    <w:rsid w:val="009970B4"/>
    <w:rsid w:val="00997EC9"/>
    <w:rsid w:val="009A088D"/>
    <w:rsid w:val="009A0A54"/>
    <w:rsid w:val="009A2051"/>
    <w:rsid w:val="009A25CE"/>
    <w:rsid w:val="009A313F"/>
    <w:rsid w:val="009A32AC"/>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21F"/>
    <w:rsid w:val="00A0237B"/>
    <w:rsid w:val="00A053EC"/>
    <w:rsid w:val="00A05BB4"/>
    <w:rsid w:val="00A0618F"/>
    <w:rsid w:val="00A065BA"/>
    <w:rsid w:val="00A07EC9"/>
    <w:rsid w:val="00A126E5"/>
    <w:rsid w:val="00A1383A"/>
    <w:rsid w:val="00A155E2"/>
    <w:rsid w:val="00A15769"/>
    <w:rsid w:val="00A15D86"/>
    <w:rsid w:val="00A15F36"/>
    <w:rsid w:val="00A16F31"/>
    <w:rsid w:val="00A20189"/>
    <w:rsid w:val="00A20252"/>
    <w:rsid w:val="00A20A56"/>
    <w:rsid w:val="00A21B6D"/>
    <w:rsid w:val="00A24122"/>
    <w:rsid w:val="00A245FA"/>
    <w:rsid w:val="00A262AC"/>
    <w:rsid w:val="00A30A84"/>
    <w:rsid w:val="00A33B0A"/>
    <w:rsid w:val="00A34F13"/>
    <w:rsid w:val="00A37472"/>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27D8"/>
    <w:rsid w:val="00A94AF7"/>
    <w:rsid w:val="00A95AA5"/>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4C4C"/>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E4B"/>
    <w:rsid w:val="00B3217E"/>
    <w:rsid w:val="00B3219C"/>
    <w:rsid w:val="00B33555"/>
    <w:rsid w:val="00B35F0C"/>
    <w:rsid w:val="00B40F2C"/>
    <w:rsid w:val="00B428F2"/>
    <w:rsid w:val="00B44413"/>
    <w:rsid w:val="00B445BD"/>
    <w:rsid w:val="00B454E2"/>
    <w:rsid w:val="00B457A8"/>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121"/>
    <w:rsid w:val="00B97BB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73D9"/>
    <w:rsid w:val="00BE79EE"/>
    <w:rsid w:val="00BF009C"/>
    <w:rsid w:val="00BF2230"/>
    <w:rsid w:val="00BF28B5"/>
    <w:rsid w:val="00BF2AC1"/>
    <w:rsid w:val="00BF2EA9"/>
    <w:rsid w:val="00BF38F4"/>
    <w:rsid w:val="00BF3D9A"/>
    <w:rsid w:val="00BF3DAE"/>
    <w:rsid w:val="00BF4B4E"/>
    <w:rsid w:val="00BF53CA"/>
    <w:rsid w:val="00BF77F3"/>
    <w:rsid w:val="00BF7BF0"/>
    <w:rsid w:val="00BF7C89"/>
    <w:rsid w:val="00C01745"/>
    <w:rsid w:val="00C023E7"/>
    <w:rsid w:val="00C02F86"/>
    <w:rsid w:val="00C03B37"/>
    <w:rsid w:val="00C03E06"/>
    <w:rsid w:val="00C05BD5"/>
    <w:rsid w:val="00C06FE2"/>
    <w:rsid w:val="00C074D1"/>
    <w:rsid w:val="00C10ECB"/>
    <w:rsid w:val="00C11819"/>
    <w:rsid w:val="00C13524"/>
    <w:rsid w:val="00C1536D"/>
    <w:rsid w:val="00C167E1"/>
    <w:rsid w:val="00C20652"/>
    <w:rsid w:val="00C21539"/>
    <w:rsid w:val="00C25845"/>
    <w:rsid w:val="00C27890"/>
    <w:rsid w:val="00C30965"/>
    <w:rsid w:val="00C33FD4"/>
    <w:rsid w:val="00C35049"/>
    <w:rsid w:val="00C3551B"/>
    <w:rsid w:val="00C35712"/>
    <w:rsid w:val="00C35E20"/>
    <w:rsid w:val="00C36237"/>
    <w:rsid w:val="00C4598D"/>
    <w:rsid w:val="00C459AF"/>
    <w:rsid w:val="00C4739A"/>
    <w:rsid w:val="00C50ECC"/>
    <w:rsid w:val="00C52B27"/>
    <w:rsid w:val="00C55C0B"/>
    <w:rsid w:val="00C55CC4"/>
    <w:rsid w:val="00C55DFB"/>
    <w:rsid w:val="00C56B72"/>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138"/>
    <w:rsid w:val="00D509D4"/>
    <w:rsid w:val="00D51F7D"/>
    <w:rsid w:val="00D52B99"/>
    <w:rsid w:val="00D5347B"/>
    <w:rsid w:val="00D5383C"/>
    <w:rsid w:val="00D5383E"/>
    <w:rsid w:val="00D55C20"/>
    <w:rsid w:val="00D56AB3"/>
    <w:rsid w:val="00D56D5D"/>
    <w:rsid w:val="00D5784C"/>
    <w:rsid w:val="00D57F4D"/>
    <w:rsid w:val="00D615AD"/>
    <w:rsid w:val="00D619FB"/>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85C"/>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B1AA0"/>
    <w:rsid w:val="00DB2B31"/>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3865"/>
    <w:rsid w:val="00E6416C"/>
    <w:rsid w:val="00E649CC"/>
    <w:rsid w:val="00E64CD0"/>
    <w:rsid w:val="00E64FA4"/>
    <w:rsid w:val="00E65AAF"/>
    <w:rsid w:val="00E66E4C"/>
    <w:rsid w:val="00E67685"/>
    <w:rsid w:val="00E67907"/>
    <w:rsid w:val="00E67D5A"/>
    <w:rsid w:val="00E70B4A"/>
    <w:rsid w:val="00E71F8F"/>
    <w:rsid w:val="00E72D49"/>
    <w:rsid w:val="00E75DF8"/>
    <w:rsid w:val="00E76BD0"/>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84B"/>
    <w:rsid w:val="00EC7D0F"/>
    <w:rsid w:val="00ED04AC"/>
    <w:rsid w:val="00ED1D56"/>
    <w:rsid w:val="00ED2F94"/>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5BF"/>
    <w:rsid w:val="00F16D17"/>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21F0"/>
    <w:rsid w:val="00F736A5"/>
    <w:rsid w:val="00F77F41"/>
    <w:rsid w:val="00F80AF2"/>
    <w:rsid w:val="00F82B54"/>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microsoft.com/office/2011/relationships/people" Target="people.xml"/><Relationship Id="rId26"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68513-9667-B04D-A6AA-0CFDCFB38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21</Pages>
  <Words>12167</Words>
  <Characters>69354</Characters>
  <Application>Microsoft Macintosh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239</cp:revision>
  <dcterms:created xsi:type="dcterms:W3CDTF">2015-12-16T19:15:00Z</dcterms:created>
  <dcterms:modified xsi:type="dcterms:W3CDTF">2016-02-03T17:28:00Z</dcterms:modified>
</cp:coreProperties>
</file>