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My insights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1)</w:t>
      </w:r>
      <w:r>
        <w:rPr/>
        <w:t xml:space="preserve"> Certain account types (acct_type) have a higher risk of bad credit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acct_type 55 has 11% bad credit rate (although the number of such accounts is small (17)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Among the larger accounts, acct_type 6 has a bad credit rate of 4%. This is marginally higher than the rate for acct_type 4 at 3.7%, which happens to be the lowest.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3162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acct_type 55 is the Business Non-Funded Credit Facility – General category, per the documentation. If this is a under low-count but high-value category, then it must be given top priority.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2)</w:t>
      </w:r>
      <w:r>
        <w:rPr/>
        <w:t xml:space="preserve"> Accounts opened in the years 2003, 2007 and 2016 show a particularly high rate of bad credit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1950720</wp:posOffset>
            </wp:positionH>
            <wp:positionV relativeFrom="paragraph">
              <wp:posOffset>45085</wp:posOffset>
            </wp:positionV>
            <wp:extent cx="1748155" cy="2745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are also dates for dt_opened that in the future, some even far into the future (between 2019-2030). I was unable to make sense of that.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3)</w:t>
      </w:r>
      <w:r>
        <w:rPr/>
        <w:t xml:space="preserve"> The mean number of enquiries made on customers with both good and bad credit is about</w:t>
      </w:r>
      <w:r>
        <w:rPr>
          <w:b/>
          <w:bCs/>
        </w:rPr>
        <w:t xml:space="preserve"> 17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we take the top 10 customers of each category, then the ones with good credit have enquiries made about them </w:t>
      </w:r>
      <w:r>
        <w:rPr>
          <w:b/>
          <w:bCs/>
        </w:rPr>
        <w:t>195</w:t>
      </w:r>
      <w:r>
        <w:rPr/>
        <w:t xml:space="preserve"> times.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top 10 with bad credit have an average of about </w:t>
      </w:r>
      <w:r>
        <w:rPr>
          <w:b/>
          <w:bCs/>
        </w:rPr>
        <w:t>106</w:t>
      </w:r>
      <w:r>
        <w:rPr/>
        <w:t xml:space="preserve"> enquiries on them. </w:t>
        <w:br/>
        <w:br/>
        <w:t xml:space="preserve">These people need to be kept on watch more.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4)</w:t>
      </w:r>
      <w:r>
        <w:rPr/>
        <w:t xml:space="preserve"> The highest number of bad credits are associated with Individual accounts (6275), followed by Joint accounts (235)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rates of bad credit per ownership type are fairly similar.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488315</wp:posOffset>
            </wp:positionH>
            <wp:positionV relativeFrom="paragraph">
              <wp:posOffset>166370</wp:posOffset>
            </wp:positionV>
            <wp:extent cx="4657725" cy="1162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</w:t>
      </w:r>
      <w:r>
        <w:rPr>
          <w:b w:val="false"/>
          <w:bCs w:val="false"/>
        </w:rPr>
        <w:t xml:space="preserve"> Going by payment frequency, those who make payments weekly are far less likely to have bad credit than those than pay monthy (1.6% vs 3.2% respectively)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933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Feature I have generated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(These include your suggestions and my own features)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mean_paymenthistory_avg_dpd_0_20_bucket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last_365day_enquiries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last_90day_enquiries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mean_diff_last_payment_opened_dt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mean_diff_open_enquiry_dt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num_of_times_overdue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payment_history_mean_length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Ratio_currbalance_creditlimit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total_enquiries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total_secured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perc_secured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utilisation_trend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avg_diff_payment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median_high_credit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median_credit_limit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median_cash_limit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mean_rateofinterest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median_actualpaymentamount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median_enq_amtt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3</Pages>
  <Words>287</Words>
  <Characters>1646</Characters>
  <CharactersWithSpaces>1918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2018-03-08T20:22:21Z</dcterms:created>
  <dc:creator/>
  <dc:description/>
  <dc:language>en-GB</dc:language>
  <cp:lastModifiedBy/>
  <dcterms:modified xsi:type="dcterms:W3CDTF">2018-03-10T21:13:53Z</dcterms:modified>
  <cp:revision>13</cp:revision>
  <dc:subject/>
  <dc:title/>
</cp:coreProperties>
</file>