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43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4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Перед началом работы с Markdown скачаем и установим pandoc (рис. 1). А</w:t>
      </w:r>
      <w:r>
        <w:t xml:space="preserve"> </w:t>
      </w:r>
      <w:hyperlink r:id="rId21">
        <w:r>
          <w:rPr>
            <w:rStyle w:val="Hyperlink"/>
          </w:rPr>
          <w:t xml:space="preserve">pandoc-citeproc</w:t>
        </w:r>
      </w:hyperlink>
      <w:r>
        <w:t xml:space="preserve"> </w:t>
      </w:r>
      <w:r>
        <w:t xml:space="preserve">и</w:t>
      </w:r>
      <w:r>
        <w:t xml:space="preserve"> </w:t>
      </w:r>
      <w:hyperlink r:id="rId22">
        <w:r>
          <w:rPr>
            <w:rStyle w:val="Hyperlink"/>
          </w:rPr>
          <w:t xml:space="preserve">pandoc-crossref</w:t>
        </w:r>
      </w:hyperlink>
      <w:r>
        <w:t xml:space="preserve"> </w:t>
      </w:r>
      <w:r>
        <w:t xml:space="preserve">скачаем и разархивируем в нужные каталоги в /usr.</w:t>
      </w:r>
    </w:p>
    <w:p>
      <w:pPr>
        <w:pStyle w:val="CaptionedFigure"/>
      </w:pPr>
      <w:bookmarkStart w:id="26" w:name="fig:001"/>
      <w:r>
        <w:drawing>
          <wp:inline>
            <wp:extent cx="5334000" cy="2560594"/>
            <wp:effectExtent b="0" l="0" r="0" t="0"/>
            <wp:docPr descr="Рис. 1: Скачивание и установка pando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Скачивание и установка pandoc</w:t>
      </w:r>
    </w:p>
    <w:p>
      <w:pPr>
        <w:numPr>
          <w:ilvl w:val="0"/>
          <w:numId w:val="1003"/>
        </w:numPr>
        <w:pStyle w:val="Compact"/>
      </w:pPr>
      <w:r>
        <w:t xml:space="preserve">Также для работы нам необходим pdflatex, скачаем его и установим (рис. 2).</w:t>
      </w:r>
    </w:p>
    <w:p>
      <w:pPr>
        <w:pStyle w:val="CaptionedFigure"/>
      </w:pPr>
      <w:bookmarkStart w:id="30" w:name="fig:002"/>
      <w:r>
        <w:drawing>
          <wp:inline>
            <wp:extent cx="5334000" cy="1153857"/>
            <wp:effectExtent b="0" l="0" r="0" t="0"/>
            <wp:docPr descr="Рис. 2: Скачивание и установка pdflatex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Скачивание и установка pdflatex</w:t>
      </w:r>
    </w:p>
    <w:p>
      <w:pPr>
        <w:numPr>
          <w:ilvl w:val="0"/>
          <w:numId w:val="1004"/>
        </w:numPr>
        <w:pStyle w:val="Compact"/>
      </w:pPr>
      <w:r>
        <w:t xml:space="preserve">После установки необходимых программ начем оформлять отчёт по предыдущей лабораторной работе в формате Markdown (рис. 3 и рис. 4). Шаблон нам дан в ранее созданном репозитории.</w:t>
      </w:r>
    </w:p>
    <w:p>
      <w:pPr>
        <w:pStyle w:val="CaptionedFigure"/>
      </w:pPr>
      <w:bookmarkStart w:id="34" w:name="fig:003"/>
      <w:r>
        <w:drawing>
          <wp:inline>
            <wp:extent cx="5334000" cy="3985260"/>
            <wp:effectExtent b="0" l="0" r="0" t="0"/>
            <wp:docPr descr="Рис. 3: Оформление титульного лис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Оформление титульного листа</w:t>
      </w:r>
    </w:p>
    <w:p>
      <w:pPr>
        <w:pStyle w:val="CaptionedFigure"/>
      </w:pPr>
      <w:bookmarkStart w:id="38" w:name="fig:004"/>
      <w:r>
        <w:drawing>
          <wp:inline>
            <wp:extent cx="5334000" cy="1550386"/>
            <wp:effectExtent b="0" l="0" r="0" t="0"/>
            <wp:docPr descr="Рис. 4: Оформление цели и ход работ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Оформление цели и ход работы</w:t>
      </w:r>
    </w:p>
    <w:p>
      <w:pPr>
        <w:numPr>
          <w:ilvl w:val="0"/>
          <w:numId w:val="1005"/>
        </w:numPr>
        <w:pStyle w:val="Compact"/>
      </w:pPr>
      <w:r>
        <w:t xml:space="preserve">Оформив весь отчет в виде Markdown, мы должны его конвертировать в формат docx и pdf. Для этого перейдем каталог лабораторной и пропишем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(рис. 5). Makefile нам ранее был дан для упрощения жизни. Терминал ругается из-за несоответсвии с нужной версии, но в итоге все правильно компилируется.</w:t>
      </w:r>
    </w:p>
    <w:p>
      <w:pPr>
        <w:pStyle w:val="CaptionedFigure"/>
      </w:pPr>
      <w:bookmarkStart w:id="42" w:name="fig:005"/>
      <w:r>
        <w:drawing>
          <wp:inline>
            <wp:extent cx="5334000" cy="472531"/>
            <wp:effectExtent b="0" l="0" r="0" t="0"/>
            <wp:docPr descr="Рис. 5: Конвертирование файла md в docx и pdf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Конвертирование файла md в docx и pdf</w:t>
      </w:r>
    </w:p>
    <w:p>
      <w:pPr>
        <w:numPr>
          <w:ilvl w:val="0"/>
          <w:numId w:val="1006"/>
        </w:numPr>
        <w:pStyle w:val="Compact"/>
      </w:pPr>
      <w:r>
        <w:t xml:space="preserve">Перейдем каталог лабораторной, проверим конвертированные файлы (рис. 6).</w:t>
      </w:r>
    </w:p>
    <w:p>
      <w:pPr>
        <w:pStyle w:val="CaptionedFigure"/>
      </w:pPr>
      <w:bookmarkStart w:id="46" w:name="fig:006"/>
      <w:r>
        <w:drawing>
          <wp:inline>
            <wp:extent cx="5325035" cy="1283233"/>
            <wp:effectExtent b="0" l="0" r="0" t="0"/>
            <wp:docPr descr="Рис. 6: Проверка файлов на создание" title="" id="44" name="Picture"/>
            <a:graphic>
              <a:graphicData uri="http://schemas.openxmlformats.org/drawingml/2006/picture">
                <pic:pic>
                  <pic:nvPicPr>
                    <pic:cNvPr descr="image/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файлов на создание</w:t>
      </w:r>
    </w:p>
    <w:bookmarkEnd w:id="47"/>
    <w:bookmarkStart w:id="48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этой лабораторной работы мы научились оформлять отчёты с помощью легковесного языка разметки Markdown.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21" Target="https://github.com/jgm/pandoc/releases" TargetMode="External" /><Relationship Type="http://schemas.openxmlformats.org/officeDocument/2006/relationships/hyperlink" Id="rId22" Target="https://github.com/lierdakil/pandoc-crossref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jgm/pandoc/releases" TargetMode="External" /><Relationship Type="http://schemas.openxmlformats.org/officeDocument/2006/relationships/hyperlink" Id="rId22" Target="https://github.com/lierdakil/pandoc-crossref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2022-04-29T10:07:29Z</dcterms:created>
  <dcterms:modified xsi:type="dcterms:W3CDTF">2022-04-29T10:07:29Z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№3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